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A8273C">
      <w:pPr>
        <w:spacing w:line="560" w:lineRule="exact"/>
        <w:jc w:val="center"/>
        <w:rPr>
          <w:rFonts w:ascii="华文中宋" w:hAnsi="华文中宋" w:eastAsia="华文中宋"/>
          <w:sz w:val="36"/>
          <w:szCs w:val="36"/>
        </w:rPr>
      </w:pPr>
    </w:p>
    <w:p w14:paraId="0CCA26CA">
      <w:pPr>
        <w:spacing w:line="560" w:lineRule="exact"/>
        <w:jc w:val="center"/>
        <w:rPr>
          <w:rFonts w:ascii="华文中宋" w:hAnsi="华文中宋" w:eastAsia="华文中宋"/>
          <w:sz w:val="36"/>
          <w:szCs w:val="36"/>
        </w:rPr>
      </w:pPr>
      <w:r>
        <w:rPr>
          <w:rFonts w:hint="eastAsia" w:ascii="华文中宋" w:hAnsi="华文中宋" w:eastAsia="华文中宋"/>
          <w:sz w:val="36"/>
          <w:szCs w:val="36"/>
        </w:rPr>
        <w:t>国家自然科学基金预算制项目决算表编制说明</w:t>
      </w:r>
    </w:p>
    <w:p w14:paraId="0DA21FDD">
      <w:pPr>
        <w:spacing w:line="560" w:lineRule="exact"/>
        <w:jc w:val="center"/>
        <w:rPr>
          <w:rFonts w:ascii="华文中宋" w:hAnsi="华文中宋" w:eastAsia="华文中宋"/>
          <w:sz w:val="24"/>
        </w:rPr>
      </w:pPr>
      <w:r>
        <w:rPr>
          <w:rFonts w:hint="eastAsia" w:ascii="仿宋_GB2312" w:hAnsi="仿宋_GB2312" w:eastAsia="仿宋_GB2312" w:cs="仿宋_GB2312"/>
          <w:sz w:val="24"/>
        </w:rPr>
        <w:t>（适用于除重大项目、国家重大科研仪器研制项目以外的其他预算制项目）</w:t>
      </w:r>
    </w:p>
    <w:p w14:paraId="4FC9418D">
      <w:pPr>
        <w:pStyle w:val="6"/>
        <w:spacing w:line="560" w:lineRule="exact"/>
        <w:ind w:left="0" w:firstLine="0"/>
        <w:jc w:val="center"/>
        <w:rPr>
          <w:rFonts w:ascii="华文中宋" w:hAnsi="华文中宋" w:eastAsia="华文中宋"/>
          <w:sz w:val="30"/>
          <w:szCs w:val="30"/>
        </w:rPr>
      </w:pPr>
      <w:r>
        <w:rPr>
          <w:rFonts w:hint="eastAsia" w:ascii="华文中宋" w:hAnsi="华文中宋" w:eastAsia="华文中宋"/>
          <w:sz w:val="30"/>
          <w:szCs w:val="30"/>
          <w:lang w:eastAsia="zh-CN"/>
        </w:rPr>
        <w:t>（</w:t>
      </w:r>
      <w:r>
        <w:rPr>
          <w:rFonts w:hint="eastAsia" w:ascii="华文中宋" w:hAnsi="华文中宋" w:eastAsia="华文中宋"/>
          <w:sz w:val="30"/>
          <w:szCs w:val="30"/>
          <w:lang w:val="en-US" w:eastAsia="zh-CN"/>
        </w:rPr>
        <w:t>2025年</w:t>
      </w:r>
      <w:r>
        <w:rPr>
          <w:rFonts w:hint="eastAsia" w:ascii="华文中宋" w:hAnsi="华文中宋" w:eastAsia="华文中宋"/>
          <w:sz w:val="30"/>
          <w:szCs w:val="30"/>
          <w:lang w:eastAsia="zh-CN"/>
        </w:rPr>
        <w:t>）</w:t>
      </w:r>
    </w:p>
    <w:p w14:paraId="0B67A059">
      <w:pPr>
        <w:pStyle w:val="6"/>
        <w:spacing w:line="560" w:lineRule="exact"/>
        <w:ind w:left="0" w:firstLine="600" w:firstLineChars="200"/>
        <w:jc w:val="center"/>
        <w:rPr>
          <w:rFonts w:ascii="华文中宋" w:hAnsi="华文中宋" w:eastAsia="华文中宋"/>
          <w:sz w:val="30"/>
          <w:szCs w:val="30"/>
        </w:rPr>
      </w:pPr>
    </w:p>
    <w:p w14:paraId="09FC344C">
      <w:pPr>
        <w:pStyle w:val="6"/>
        <w:spacing w:line="560" w:lineRule="exact"/>
        <w:ind w:left="0" w:firstLine="562" w:firstLineChars="200"/>
        <w:rPr>
          <w:rFonts w:ascii="黑体" w:hAnsi="黑体" w:eastAsia="黑体"/>
          <w:b/>
          <w:bCs/>
          <w:sz w:val="28"/>
          <w:szCs w:val="28"/>
        </w:rPr>
      </w:pPr>
      <w:r>
        <w:rPr>
          <w:rFonts w:hint="eastAsia" w:ascii="黑体" w:hAnsi="黑体" w:eastAsia="黑体"/>
          <w:b/>
          <w:bCs/>
          <w:sz w:val="28"/>
          <w:szCs w:val="28"/>
        </w:rPr>
        <w:t>一、编制总体要求</w:t>
      </w:r>
    </w:p>
    <w:p w14:paraId="4B999406">
      <w:pPr>
        <w:snapToGrid w:val="0"/>
        <w:spacing w:line="560" w:lineRule="exact"/>
        <w:ind w:firstLine="560" w:firstLineChars="200"/>
        <w:rPr>
          <w:rFonts w:ascii="仿宋_GB2312" w:hAnsi="仿宋" w:eastAsia="仿宋_GB2312"/>
          <w:sz w:val="28"/>
          <w:szCs w:val="28"/>
        </w:rPr>
      </w:pPr>
      <w:r>
        <w:rPr>
          <w:rFonts w:hint="eastAsia" w:ascii="仿宋_GB2312" w:hAnsi="仿宋" w:eastAsia="仿宋_GB2312"/>
          <w:sz w:val="28"/>
          <w:szCs w:val="28"/>
        </w:rPr>
        <w:t>《国家自然科学基金预算制项目决算表》（以下简称项目决算表）是预算执行情况的全面反映，是实施绩效评价和监督检查的重要依据。项目负责人应按照《国家自然科学基金资助项目资金管理办法》（以下简称《资金管理办法》）和本编制说明等有关规定，会同单位科研、财务等部门共同编制项目决算，真实全面反映项目资金收支余情况，务必做到账表一致、账实相符，全面分析项目资金管理使用情况。</w:t>
      </w:r>
    </w:p>
    <w:p w14:paraId="58F16B96">
      <w:pPr>
        <w:pStyle w:val="6"/>
        <w:spacing w:line="560" w:lineRule="exact"/>
        <w:ind w:left="0" w:firstLine="562" w:firstLineChars="200"/>
        <w:rPr>
          <w:rFonts w:ascii="黑体" w:hAnsi="黑体" w:eastAsia="黑体"/>
          <w:b/>
          <w:bCs/>
          <w:sz w:val="28"/>
          <w:szCs w:val="28"/>
        </w:rPr>
      </w:pPr>
      <w:r>
        <w:rPr>
          <w:rFonts w:hint="eastAsia" w:ascii="黑体" w:hAnsi="黑体" w:eastAsia="黑体"/>
          <w:b/>
          <w:bCs/>
          <w:sz w:val="28"/>
          <w:szCs w:val="28"/>
        </w:rPr>
        <w:t>二、编制内容</w:t>
      </w:r>
    </w:p>
    <w:p w14:paraId="46475335">
      <w:pPr>
        <w:snapToGrid w:val="0"/>
        <w:spacing w:line="560" w:lineRule="exact"/>
        <w:ind w:firstLine="560" w:firstLineChars="200"/>
        <w:rPr>
          <w:rFonts w:ascii="仿宋_GB2312" w:hAnsi="仿宋" w:eastAsia="仿宋_GB2312"/>
          <w:sz w:val="28"/>
          <w:szCs w:val="28"/>
        </w:rPr>
      </w:pPr>
      <w:r>
        <w:rPr>
          <w:rFonts w:hint="eastAsia" w:ascii="仿宋_GB2312" w:hAnsi="仿宋" w:eastAsia="仿宋_GB2312"/>
          <w:sz w:val="28"/>
          <w:szCs w:val="28"/>
        </w:rPr>
        <w:t>编制内容包括《国家自然科学基金预算制项目决算表》（以下简称《决算表》）和《决算说明书》。</w:t>
      </w:r>
    </w:p>
    <w:p w14:paraId="7E325802">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rPr>
        <w:t>决算支出数据截止到</w:t>
      </w:r>
      <w:r>
        <w:rPr>
          <w:rFonts w:hint="eastAsia" w:ascii="仿宋_GB2312" w:hAnsi="仿宋" w:eastAsia="仿宋_GB2312"/>
          <w:color w:val="000000"/>
          <w:sz w:val="28"/>
          <w:szCs w:val="28"/>
          <w:lang w:eastAsia="zh-CN"/>
        </w:rPr>
        <w:t>项目资助期满</w:t>
      </w:r>
      <w:r>
        <w:rPr>
          <w:rFonts w:hint="eastAsia" w:ascii="仿宋_GB2312" w:hAnsi="仿宋" w:eastAsia="仿宋_GB2312"/>
          <w:color w:val="000000"/>
          <w:sz w:val="28"/>
          <w:szCs w:val="28"/>
        </w:rPr>
        <w:t>。</w:t>
      </w:r>
    </w:p>
    <w:p w14:paraId="68A5B2A7">
      <w:pPr>
        <w:pStyle w:val="6"/>
        <w:spacing w:line="560" w:lineRule="exact"/>
        <w:ind w:left="0" w:firstLine="560" w:firstLineChars="200"/>
        <w:rPr>
          <w:rFonts w:ascii="仿宋_GB2312" w:hAnsi="仿宋" w:eastAsia="仿宋_GB2312"/>
          <w:sz w:val="28"/>
          <w:szCs w:val="28"/>
        </w:rPr>
      </w:pPr>
      <w:r>
        <w:rPr>
          <w:rFonts w:hint="eastAsia" w:ascii="仿宋_GB2312" w:hAnsi="仿宋" w:eastAsia="仿宋_GB2312"/>
          <w:sz w:val="28"/>
          <w:szCs w:val="28"/>
        </w:rPr>
        <w:t>项目资助期满后，项目负责人应当会同</w:t>
      </w:r>
      <w:r>
        <w:rPr>
          <w:rFonts w:hint="eastAsia" w:ascii="仿宋_GB2312" w:hAnsi="仿宋" w:eastAsia="仿宋_GB2312"/>
          <w:sz w:val="28"/>
          <w:szCs w:val="28"/>
          <w:lang w:eastAsia="zh-CN"/>
        </w:rPr>
        <w:t>单位</w:t>
      </w:r>
      <w:r>
        <w:rPr>
          <w:rFonts w:hint="eastAsia" w:ascii="仿宋_GB2312" w:hAnsi="仿宋" w:eastAsia="仿宋_GB2312"/>
          <w:sz w:val="28"/>
          <w:szCs w:val="28"/>
        </w:rPr>
        <w:t>科研、财务、资产等管理部门及时清理账目与资产，如实编制项目决算。</w:t>
      </w:r>
    </w:p>
    <w:p w14:paraId="238A49CD">
      <w:pPr>
        <w:pStyle w:val="6"/>
        <w:spacing w:line="560" w:lineRule="exact"/>
        <w:ind w:left="0" w:firstLine="560" w:firstLineChars="200"/>
        <w:rPr>
          <w:rFonts w:ascii="仿宋_GB2312" w:hAnsi="仿宋" w:eastAsia="仿宋_GB2312"/>
          <w:sz w:val="28"/>
          <w:szCs w:val="28"/>
        </w:rPr>
      </w:pPr>
      <w:r>
        <w:rPr>
          <w:rFonts w:hint="eastAsia" w:ascii="仿宋_GB2312" w:hAnsi="仿宋" w:eastAsia="仿宋_GB2312"/>
          <w:sz w:val="28"/>
          <w:szCs w:val="28"/>
        </w:rPr>
        <w:t>有</w:t>
      </w:r>
      <w:r>
        <w:rPr>
          <w:rFonts w:hint="eastAsia" w:ascii="仿宋_GB2312" w:hAnsi="仿宋" w:eastAsia="仿宋_GB2312"/>
          <w:sz w:val="28"/>
          <w:szCs w:val="28"/>
          <w:lang w:eastAsia="zh-CN"/>
        </w:rPr>
        <w:t>合作研究转拨资金</w:t>
      </w:r>
      <w:r>
        <w:rPr>
          <w:rFonts w:hint="eastAsia" w:ascii="仿宋_GB2312" w:hAnsi="仿宋" w:eastAsia="仿宋_GB2312"/>
          <w:sz w:val="28"/>
          <w:szCs w:val="28"/>
        </w:rPr>
        <w:t>的，依托单位的项目负责人和合作研究单位的参与者应当分别编</w:t>
      </w:r>
      <w:r>
        <w:rPr>
          <w:rFonts w:hint="eastAsia" w:ascii="仿宋_GB2312" w:hAnsi="仿宋" w:eastAsia="仿宋_GB2312"/>
          <w:sz w:val="28"/>
          <w:szCs w:val="28"/>
          <w:lang w:eastAsia="zh-CN"/>
        </w:rPr>
        <w:t>制</w:t>
      </w:r>
      <w:r>
        <w:rPr>
          <w:rFonts w:hint="eastAsia" w:ascii="仿宋_GB2312" w:hAnsi="仿宋" w:eastAsia="仿宋_GB2312"/>
          <w:sz w:val="28"/>
          <w:szCs w:val="28"/>
        </w:rPr>
        <w:t>项目决算，经所在单位科研、财务管理部门审核并签署意见后，</w:t>
      </w:r>
      <w:r>
        <w:rPr>
          <w:rFonts w:hint="eastAsia" w:ascii="仿宋_GB2312" w:hAnsi="仿宋" w:eastAsia="仿宋_GB2312"/>
          <w:sz w:val="28"/>
          <w:szCs w:val="28"/>
          <w:lang w:eastAsia="zh-CN"/>
        </w:rPr>
        <w:t>再</w:t>
      </w:r>
      <w:r>
        <w:rPr>
          <w:rFonts w:hint="eastAsia" w:ascii="仿宋_GB2312" w:hAnsi="仿宋" w:eastAsia="仿宋_GB2312"/>
          <w:sz w:val="28"/>
          <w:szCs w:val="28"/>
        </w:rPr>
        <w:t>由依托单位项目负责人汇总编</w:t>
      </w:r>
      <w:r>
        <w:rPr>
          <w:rFonts w:hint="eastAsia" w:ascii="仿宋_GB2312" w:hAnsi="仿宋" w:eastAsia="仿宋_GB2312"/>
          <w:sz w:val="28"/>
          <w:szCs w:val="28"/>
          <w:lang w:eastAsia="zh-CN"/>
        </w:rPr>
        <w:t>报</w:t>
      </w:r>
      <w:r>
        <w:rPr>
          <w:rFonts w:hint="eastAsia" w:ascii="仿宋_GB2312" w:hAnsi="仿宋" w:eastAsia="仿宋_GB2312"/>
          <w:sz w:val="28"/>
          <w:szCs w:val="28"/>
        </w:rPr>
        <w:t>。</w:t>
      </w:r>
    </w:p>
    <w:p w14:paraId="0B24F791">
      <w:pPr>
        <w:pStyle w:val="6"/>
        <w:spacing w:line="560" w:lineRule="exact"/>
        <w:ind w:left="0" w:firstLine="560" w:firstLineChars="200"/>
        <w:rPr>
          <w:rFonts w:ascii="仿宋_GB2312" w:hAnsi="仿宋" w:eastAsia="仿宋_GB2312"/>
          <w:sz w:val="28"/>
          <w:szCs w:val="28"/>
        </w:rPr>
      </w:pPr>
      <w:r>
        <w:rPr>
          <w:rFonts w:hint="eastAsia" w:ascii="仿宋_GB2312" w:hAnsi="仿宋" w:eastAsia="仿宋_GB2312"/>
          <w:sz w:val="28"/>
          <w:szCs w:val="28"/>
        </w:rPr>
        <w:t>依托单位应当组织其科研、财务管理部门审核项目决算，并签署意见后报自然科学基金委。</w:t>
      </w:r>
    </w:p>
    <w:p w14:paraId="4FBE966D">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lang w:eastAsia="zh-CN"/>
        </w:rPr>
        <w:t>具体</w:t>
      </w:r>
      <w:r>
        <w:rPr>
          <w:rFonts w:hint="eastAsia" w:ascii="仿宋_GB2312" w:hAnsi="仿宋" w:eastAsia="仿宋_GB2312"/>
          <w:color w:val="000000"/>
          <w:sz w:val="28"/>
          <w:szCs w:val="28"/>
        </w:rPr>
        <w:t>填报要求如下：</w:t>
      </w:r>
    </w:p>
    <w:p w14:paraId="5329B10F">
      <w:pPr>
        <w:pStyle w:val="6"/>
        <w:spacing w:line="560" w:lineRule="exact"/>
        <w:ind w:left="0" w:firstLine="562" w:firstLineChars="200"/>
        <w:rPr>
          <w:rFonts w:ascii="仿宋_GB2312" w:hAnsi="仿宋" w:eastAsia="仿宋_GB2312"/>
          <w:b/>
          <w:sz w:val="28"/>
          <w:szCs w:val="28"/>
        </w:rPr>
      </w:pPr>
      <w:r>
        <w:rPr>
          <w:rFonts w:hint="eastAsia" w:ascii="仿宋_GB2312" w:hAnsi="仿宋" w:eastAsia="仿宋_GB2312"/>
          <w:b/>
          <w:color w:val="000000"/>
          <w:sz w:val="28"/>
          <w:szCs w:val="28"/>
        </w:rPr>
        <w:t>（一）</w:t>
      </w:r>
      <w:r>
        <w:rPr>
          <w:rFonts w:hint="eastAsia" w:ascii="仿宋_GB2312" w:hAnsi="仿宋" w:eastAsia="仿宋_GB2312"/>
          <w:b/>
          <w:color w:val="000000"/>
          <w:sz w:val="28"/>
          <w:szCs w:val="28"/>
          <w:lang w:eastAsia="zh-CN"/>
        </w:rPr>
        <w:t>《</w:t>
      </w:r>
      <w:r>
        <w:rPr>
          <w:rFonts w:hint="eastAsia" w:ascii="仿宋_GB2312" w:hAnsi="仿宋" w:eastAsia="仿宋_GB2312"/>
          <w:b/>
          <w:sz w:val="28"/>
          <w:szCs w:val="28"/>
        </w:rPr>
        <w:t>决算表</w:t>
      </w:r>
      <w:r>
        <w:rPr>
          <w:rFonts w:hint="eastAsia" w:ascii="仿宋_GB2312" w:hAnsi="仿宋" w:eastAsia="仿宋_GB2312"/>
          <w:b/>
          <w:color w:val="000000"/>
          <w:sz w:val="28"/>
          <w:szCs w:val="28"/>
          <w:lang w:eastAsia="zh-CN"/>
        </w:rPr>
        <w:t>》</w:t>
      </w:r>
    </w:p>
    <w:p w14:paraId="4B6A3BC5">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rPr>
        <w:t>1.本表反映结题项目在项目</w:t>
      </w:r>
      <w:r>
        <w:rPr>
          <w:rFonts w:hint="eastAsia" w:ascii="仿宋_GB2312" w:hAnsi="仿宋" w:eastAsia="仿宋_GB2312"/>
          <w:color w:val="000000"/>
          <w:sz w:val="28"/>
          <w:szCs w:val="28"/>
          <w:lang w:eastAsia="zh-CN"/>
        </w:rPr>
        <w:t>资助</w:t>
      </w:r>
      <w:r>
        <w:rPr>
          <w:rFonts w:hint="eastAsia" w:ascii="仿宋_GB2312" w:hAnsi="仿宋" w:eastAsia="仿宋_GB2312"/>
          <w:color w:val="000000"/>
          <w:sz w:val="28"/>
          <w:szCs w:val="28"/>
        </w:rPr>
        <w:t>期的直接费用批准预算情况、间接费用核定情况、预算调整情况、实际支出情况和资金结余情况。</w:t>
      </w:r>
    </w:p>
    <w:p w14:paraId="61D454FF">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rPr>
        <w:t>2.本表仅填列自然科学基金委批准资助的项目经费决算情况，其他来源资金的经费决算情况不纳入填列范围。</w:t>
      </w:r>
    </w:p>
    <w:p w14:paraId="32067F29">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rPr>
        <w:t>3.表</w:t>
      </w:r>
      <w:r>
        <w:rPr>
          <w:rFonts w:hint="eastAsia" w:ascii="仿宋_GB2312" w:hAnsi="仿宋" w:eastAsia="仿宋_GB2312"/>
          <w:color w:val="000000"/>
          <w:sz w:val="28"/>
          <w:szCs w:val="28"/>
          <w:lang w:eastAsia="zh-CN"/>
        </w:rPr>
        <w:t>格填报说明如下：</w:t>
      </w:r>
    </w:p>
    <w:p w14:paraId="4A8093C4">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rPr>
        <w:t>批准预算</w:t>
      </w:r>
      <w:r>
        <w:rPr>
          <w:rFonts w:hint="eastAsia" w:ascii="仿宋_GB2312" w:hAnsi="仿宋" w:eastAsia="仿宋_GB2312"/>
          <w:color w:val="000000"/>
          <w:sz w:val="28"/>
          <w:szCs w:val="28"/>
          <w:lang w:eastAsia="zh-CN"/>
        </w:rPr>
        <w:t>为</w:t>
      </w:r>
      <w:r>
        <w:rPr>
          <w:rFonts w:hint="eastAsia" w:ascii="仿宋_GB2312" w:hAnsi="仿宋" w:eastAsia="仿宋_GB2312"/>
          <w:color w:val="000000"/>
          <w:sz w:val="28"/>
          <w:szCs w:val="28"/>
        </w:rPr>
        <w:t>自然科学基金委批准资助的项目总经费，包括项目直接费用和间接费用；</w:t>
      </w:r>
    </w:p>
    <w:p w14:paraId="240D3588">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rPr>
        <w:t>预算调整</w:t>
      </w:r>
      <w:r>
        <w:rPr>
          <w:rFonts w:hint="eastAsia" w:ascii="仿宋_GB2312" w:hAnsi="仿宋" w:eastAsia="仿宋_GB2312"/>
          <w:color w:val="000000"/>
          <w:sz w:val="28"/>
          <w:szCs w:val="28"/>
          <w:lang w:eastAsia="zh-CN"/>
        </w:rPr>
        <w:t>为</w:t>
      </w:r>
      <w:r>
        <w:rPr>
          <w:rFonts w:hint="eastAsia" w:ascii="仿宋_GB2312" w:hAnsi="仿宋" w:eastAsia="仿宋_GB2312"/>
          <w:color w:val="000000"/>
          <w:sz w:val="28"/>
          <w:szCs w:val="28"/>
        </w:rPr>
        <w:t>项目执行过程中，经依托单位批准或项目负责人自行调整的预算数额；</w:t>
      </w:r>
    </w:p>
    <w:p w14:paraId="09F391D8">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rPr>
        <w:t>调整后预算</w:t>
      </w:r>
      <w:r>
        <w:rPr>
          <w:rFonts w:hint="eastAsia" w:ascii="仿宋_GB2312" w:hAnsi="仿宋" w:eastAsia="仿宋_GB2312"/>
          <w:color w:val="000000"/>
          <w:sz w:val="28"/>
          <w:szCs w:val="28"/>
          <w:lang w:eastAsia="zh-CN"/>
        </w:rPr>
        <w:t>为</w:t>
      </w:r>
      <w:r>
        <w:rPr>
          <w:rFonts w:hint="eastAsia" w:ascii="仿宋_GB2312" w:hAnsi="仿宋" w:eastAsia="仿宋_GB2312"/>
          <w:color w:val="000000"/>
          <w:sz w:val="28"/>
          <w:szCs w:val="28"/>
        </w:rPr>
        <w:t>批准预算和预算调整的合计数；</w:t>
      </w:r>
    </w:p>
    <w:p w14:paraId="48AD4ADA">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rPr>
        <w:t>累计支出数</w:t>
      </w:r>
      <w:r>
        <w:rPr>
          <w:rFonts w:hint="eastAsia" w:ascii="仿宋_GB2312" w:hAnsi="仿宋" w:eastAsia="仿宋_GB2312"/>
          <w:color w:val="000000"/>
          <w:sz w:val="28"/>
          <w:szCs w:val="28"/>
          <w:lang w:eastAsia="zh-CN"/>
        </w:rPr>
        <w:t>为</w:t>
      </w:r>
      <w:r>
        <w:rPr>
          <w:rFonts w:hint="eastAsia" w:ascii="仿宋_GB2312" w:hAnsi="仿宋" w:eastAsia="仿宋_GB2312"/>
          <w:color w:val="000000"/>
          <w:sz w:val="28"/>
          <w:szCs w:val="28"/>
        </w:rPr>
        <w:t>项目执行过程中，实际发生的各项直接费用累计支出；</w:t>
      </w:r>
    </w:p>
    <w:p w14:paraId="1628BC77">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rPr>
        <w:t>结余数</w:t>
      </w:r>
      <w:r>
        <w:rPr>
          <w:rFonts w:hint="eastAsia" w:ascii="仿宋_GB2312" w:hAnsi="仿宋" w:eastAsia="仿宋_GB2312"/>
          <w:color w:val="000000"/>
          <w:sz w:val="28"/>
          <w:szCs w:val="28"/>
          <w:lang w:eastAsia="zh-CN"/>
        </w:rPr>
        <w:t>为</w:t>
      </w:r>
      <w:r>
        <w:rPr>
          <w:rFonts w:hint="eastAsia" w:ascii="仿宋_GB2312" w:hAnsi="仿宋" w:eastAsia="仿宋_GB2312"/>
          <w:color w:val="000000"/>
          <w:sz w:val="28"/>
          <w:szCs w:val="28"/>
        </w:rPr>
        <w:t>调整后预算扣除累计支出数后的结余</w:t>
      </w:r>
      <w:r>
        <w:rPr>
          <w:rFonts w:hint="eastAsia" w:ascii="仿宋_GB2312" w:hAnsi="仿宋" w:eastAsia="仿宋_GB2312"/>
          <w:color w:val="000000"/>
          <w:sz w:val="28"/>
          <w:szCs w:val="28"/>
          <w:lang w:eastAsia="zh-CN"/>
        </w:rPr>
        <w:t>；</w:t>
      </w:r>
    </w:p>
    <w:p w14:paraId="23016A16">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lang w:eastAsia="zh-CN"/>
        </w:rPr>
        <w:t>结余资金比例为</w:t>
      </w:r>
      <w:r>
        <w:rPr>
          <w:rFonts w:hint="eastAsia" w:ascii="仿宋_GB2312" w:hAnsi="仿宋" w:eastAsia="仿宋_GB2312"/>
          <w:color w:val="000000"/>
          <w:sz w:val="28"/>
          <w:szCs w:val="28"/>
        </w:rPr>
        <w:t>结余数</w:t>
      </w:r>
      <w:r>
        <w:rPr>
          <w:rFonts w:hint="eastAsia" w:ascii="仿宋_GB2312" w:hAnsi="仿宋" w:eastAsia="仿宋_GB2312"/>
          <w:color w:val="000000"/>
          <w:sz w:val="28"/>
          <w:szCs w:val="28"/>
          <w:lang w:val="en-US" w:eastAsia="zh-CN"/>
        </w:rPr>
        <w:t>占</w:t>
      </w:r>
      <w:r>
        <w:rPr>
          <w:rFonts w:hint="eastAsia" w:ascii="仿宋_GB2312" w:hAnsi="仿宋" w:eastAsia="仿宋_GB2312"/>
          <w:color w:val="000000"/>
          <w:sz w:val="28"/>
          <w:szCs w:val="28"/>
          <w:lang w:eastAsia="zh-CN"/>
        </w:rPr>
        <w:t>调整后预算的比例。</w:t>
      </w:r>
    </w:p>
    <w:p w14:paraId="6A2E3EC0">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rPr>
        <w:t>4.各科目填报内容如下：</w:t>
      </w:r>
    </w:p>
    <w:p w14:paraId="50E1A550">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lang w:eastAsia="zh-CN"/>
        </w:rPr>
        <w:t>“</w:t>
      </w:r>
      <w:r>
        <w:rPr>
          <w:rFonts w:hint="eastAsia" w:ascii="仿宋_GB2312" w:hAnsi="仿宋" w:eastAsia="仿宋_GB2312"/>
          <w:color w:val="000000"/>
          <w:sz w:val="28"/>
          <w:szCs w:val="28"/>
        </w:rPr>
        <w:t>设备费</w:t>
      </w:r>
      <w:r>
        <w:rPr>
          <w:rFonts w:hint="eastAsia" w:ascii="仿宋_GB2312" w:hAnsi="仿宋" w:eastAsia="仿宋_GB2312"/>
          <w:color w:val="000000"/>
          <w:sz w:val="28"/>
          <w:szCs w:val="28"/>
          <w:lang w:eastAsia="zh-CN"/>
        </w:rPr>
        <w:t>”</w:t>
      </w:r>
      <w:r>
        <w:rPr>
          <w:rFonts w:hint="eastAsia" w:ascii="仿宋_GB2312" w:hAnsi="仿宋" w:eastAsia="仿宋_GB2312"/>
          <w:color w:val="000000"/>
          <w:sz w:val="28"/>
          <w:szCs w:val="28"/>
        </w:rPr>
        <w:t>，填列在项目实施过程中购置或试制专用仪器设备，对现有仪器设备进行升级改造，以及租赁外单位仪器设备而发生的费用。</w:t>
      </w:r>
    </w:p>
    <w:p w14:paraId="3D52F958">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rPr>
        <w:t>其中，</w:t>
      </w:r>
      <w:r>
        <w:rPr>
          <w:rFonts w:hint="eastAsia" w:ascii="仿宋_GB2312" w:hAnsi="仿宋" w:eastAsia="仿宋_GB2312"/>
          <w:color w:val="000000"/>
          <w:sz w:val="28"/>
          <w:szCs w:val="28"/>
          <w:lang w:eastAsia="zh-CN"/>
        </w:rPr>
        <w:t>“</w:t>
      </w:r>
      <w:r>
        <w:rPr>
          <w:rFonts w:hint="eastAsia" w:ascii="仿宋_GB2312" w:hAnsi="仿宋" w:eastAsia="仿宋_GB2312"/>
          <w:color w:val="000000"/>
          <w:sz w:val="28"/>
          <w:szCs w:val="28"/>
        </w:rPr>
        <w:t>设备购置费</w:t>
      </w:r>
      <w:r>
        <w:rPr>
          <w:rFonts w:hint="eastAsia" w:ascii="仿宋_GB2312" w:hAnsi="仿宋" w:eastAsia="仿宋_GB2312"/>
          <w:color w:val="000000"/>
          <w:sz w:val="28"/>
          <w:szCs w:val="28"/>
          <w:lang w:eastAsia="zh-CN"/>
        </w:rPr>
        <w:t>”</w:t>
      </w:r>
      <w:r>
        <w:rPr>
          <w:rFonts w:hint="eastAsia" w:ascii="仿宋_GB2312" w:hAnsi="仿宋" w:eastAsia="仿宋_GB2312"/>
          <w:color w:val="000000"/>
          <w:sz w:val="28"/>
          <w:szCs w:val="28"/>
        </w:rPr>
        <w:t>，填列在项目实施过程中购置专用仪器设备而发生的费用。</w:t>
      </w:r>
    </w:p>
    <w:p w14:paraId="07EF10C5">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lang w:eastAsia="zh-CN"/>
        </w:rPr>
        <w:t>“</w:t>
      </w:r>
      <w:r>
        <w:rPr>
          <w:rFonts w:hint="eastAsia" w:ascii="仿宋_GB2312" w:hAnsi="仿宋" w:eastAsia="仿宋_GB2312"/>
          <w:color w:val="000000"/>
          <w:sz w:val="28"/>
          <w:szCs w:val="28"/>
        </w:rPr>
        <w:t>业务费</w:t>
      </w:r>
      <w:r>
        <w:rPr>
          <w:rFonts w:hint="eastAsia" w:ascii="仿宋_GB2312" w:hAnsi="仿宋" w:eastAsia="仿宋_GB2312"/>
          <w:color w:val="000000"/>
          <w:sz w:val="28"/>
          <w:szCs w:val="28"/>
          <w:lang w:eastAsia="zh-CN"/>
        </w:rPr>
        <w:t>”</w:t>
      </w:r>
      <w:r>
        <w:rPr>
          <w:rFonts w:hint="eastAsia" w:ascii="仿宋_GB2312" w:hAnsi="仿宋" w:eastAsia="仿宋_GB2312"/>
          <w:color w:val="000000"/>
          <w:sz w:val="28"/>
          <w:szCs w:val="28"/>
        </w:rPr>
        <w:t>，填列项目实施过程中消耗的各种材料、辅助材料等低值易耗品的采购、运输、装卸、整理等费用，发生的测试化验加工、燃料动力、出版/文献/信息传播/知识产权事务、会议/差旅/国际合作交流等费用，以及其他相关支出。</w:t>
      </w:r>
    </w:p>
    <w:p w14:paraId="303E6C8B">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lang w:eastAsia="zh-CN"/>
        </w:rPr>
        <w:t>“</w:t>
      </w:r>
      <w:r>
        <w:rPr>
          <w:rFonts w:hint="eastAsia" w:ascii="仿宋_GB2312" w:hAnsi="仿宋" w:eastAsia="仿宋_GB2312"/>
          <w:color w:val="000000"/>
          <w:sz w:val="28"/>
          <w:szCs w:val="28"/>
        </w:rPr>
        <w:t>劳务费</w:t>
      </w:r>
      <w:r>
        <w:rPr>
          <w:rFonts w:hint="eastAsia" w:ascii="仿宋_GB2312" w:hAnsi="仿宋" w:eastAsia="仿宋_GB2312"/>
          <w:color w:val="000000"/>
          <w:sz w:val="28"/>
          <w:szCs w:val="28"/>
          <w:lang w:eastAsia="zh-CN"/>
        </w:rPr>
        <w:t>”</w:t>
      </w:r>
      <w:r>
        <w:rPr>
          <w:rFonts w:hint="eastAsia" w:ascii="仿宋_GB2312" w:hAnsi="仿宋" w:eastAsia="仿宋_GB2312"/>
          <w:color w:val="000000"/>
          <w:sz w:val="28"/>
          <w:szCs w:val="28"/>
        </w:rPr>
        <w:t>，填列在项目实施过程中支付给参与项目研究的研究生、博士后、访问学者以及项目聘用的研究人员、科研辅助人员等的劳务性费用，以及支付给临时聘请的咨询专家的费用等。</w:t>
      </w:r>
    </w:p>
    <w:p w14:paraId="33849ED8">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rPr>
        <w:t>5.关于项目间接费用“预算调整”情况填报需注意以下事项：</w:t>
      </w:r>
    </w:p>
    <w:p w14:paraId="4BDEE794">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rPr>
        <w:t>（1）</w:t>
      </w:r>
      <w:r>
        <w:rPr>
          <w:rFonts w:hint="eastAsia" w:ascii="仿宋_GB2312" w:hAnsi="仿宋" w:eastAsia="仿宋_GB2312"/>
          <w:color w:val="000000"/>
          <w:sz w:val="28"/>
          <w:szCs w:val="28"/>
          <w:lang w:eastAsia="zh-CN"/>
        </w:rPr>
        <w:t>对于核定间接费用的项目：</w:t>
      </w:r>
    </w:p>
    <w:p w14:paraId="69F0FDE2">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rPr>
        <w:t>该栏目</w:t>
      </w:r>
      <w:r>
        <w:rPr>
          <w:rFonts w:hint="eastAsia" w:ascii="仿宋_GB2312" w:hAnsi="仿宋" w:eastAsia="仿宋_GB2312"/>
          <w:color w:val="000000"/>
          <w:sz w:val="28"/>
          <w:szCs w:val="28"/>
          <w:lang w:eastAsia="zh-CN"/>
        </w:rPr>
        <w:t>可</w:t>
      </w:r>
      <w:r>
        <w:rPr>
          <w:rFonts w:hint="eastAsia" w:ascii="仿宋_GB2312" w:hAnsi="仿宋" w:eastAsia="仿宋_GB2312"/>
          <w:color w:val="000000"/>
          <w:sz w:val="28"/>
          <w:szCs w:val="28"/>
        </w:rPr>
        <w:t>填列在项目执行过程中经依托单位与项目负责人协商一致后调减用于直接费用的金额；</w:t>
      </w:r>
    </w:p>
    <w:p w14:paraId="79D29D67">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rPr>
        <w:t>对于2020及以前年度批准资助且核定间接费用的项目，该栏目可</w:t>
      </w:r>
      <w:r>
        <w:rPr>
          <w:rFonts w:hint="eastAsia" w:ascii="仿宋_GB2312" w:hAnsi="仿宋" w:eastAsia="仿宋_GB2312"/>
          <w:color w:val="000000"/>
          <w:sz w:val="28"/>
          <w:szCs w:val="28"/>
          <w:lang w:eastAsia="zh-CN"/>
        </w:rPr>
        <w:t>根据实际需要</w:t>
      </w:r>
      <w:r>
        <w:rPr>
          <w:rFonts w:hint="eastAsia" w:ascii="仿宋_GB2312" w:hAnsi="仿宋" w:eastAsia="仿宋_GB2312"/>
          <w:color w:val="000000"/>
          <w:sz w:val="28"/>
          <w:szCs w:val="28"/>
        </w:rPr>
        <w:t>填列经依托单位和项目负责人协商一致后调增的间接费用金额，且间接费用预算调增情况应符合</w:t>
      </w:r>
      <w:r>
        <w:rPr>
          <w:rFonts w:hint="eastAsia" w:ascii="仿宋_GB2312" w:hAnsi="仿宋" w:eastAsia="仿宋_GB2312"/>
          <w:sz w:val="28"/>
          <w:szCs w:val="28"/>
          <w:lang w:eastAsia="zh-CN"/>
        </w:rPr>
        <w:t>《资金管理办法》要求</w:t>
      </w:r>
      <w:r>
        <w:rPr>
          <w:rFonts w:hint="eastAsia" w:ascii="仿宋_GB2312" w:hAnsi="仿宋" w:eastAsia="仿宋_GB2312"/>
          <w:sz w:val="28"/>
          <w:szCs w:val="28"/>
        </w:rPr>
        <w:t>，不</w:t>
      </w:r>
      <w:r>
        <w:rPr>
          <w:rFonts w:hint="eastAsia" w:ascii="仿宋_GB2312" w:hAnsi="仿宋" w:eastAsia="仿宋_GB2312"/>
          <w:sz w:val="28"/>
          <w:szCs w:val="28"/>
          <w:lang w:eastAsia="zh-CN"/>
        </w:rPr>
        <w:t>得</w:t>
      </w:r>
      <w:r>
        <w:rPr>
          <w:rFonts w:hint="eastAsia" w:ascii="仿宋_GB2312" w:hAnsi="仿宋" w:eastAsia="仿宋_GB2312"/>
          <w:sz w:val="28"/>
          <w:szCs w:val="28"/>
        </w:rPr>
        <w:t>超过核定比例上限；</w:t>
      </w:r>
      <w:r>
        <w:rPr>
          <w:rFonts w:hint="eastAsia" w:ascii="仿宋_GB2312" w:hAnsi="仿宋" w:eastAsia="仿宋_GB2312"/>
          <w:color w:val="000000"/>
          <w:sz w:val="28"/>
          <w:szCs w:val="28"/>
        </w:rPr>
        <w:t>创新研究群体项目和联合基金项目保持原有间接费用结构比例</w:t>
      </w:r>
      <w:r>
        <w:rPr>
          <w:rFonts w:hint="eastAsia" w:ascii="仿宋_GB2312" w:hAnsi="仿宋" w:eastAsia="仿宋_GB2312"/>
          <w:color w:val="000000"/>
          <w:sz w:val="28"/>
          <w:szCs w:val="28"/>
          <w:lang w:eastAsia="zh-CN"/>
        </w:rPr>
        <w:t>，</w:t>
      </w:r>
      <w:r>
        <w:rPr>
          <w:rFonts w:hint="eastAsia" w:ascii="仿宋_GB2312" w:hAnsi="仿宋" w:eastAsia="仿宋_GB2312"/>
          <w:color w:val="000000"/>
          <w:sz w:val="28"/>
          <w:szCs w:val="28"/>
        </w:rPr>
        <w:t>不</w:t>
      </w:r>
      <w:r>
        <w:rPr>
          <w:rFonts w:hint="eastAsia" w:ascii="仿宋_GB2312" w:hAnsi="仿宋" w:eastAsia="仿宋_GB2312"/>
          <w:color w:val="000000"/>
          <w:sz w:val="28"/>
          <w:szCs w:val="28"/>
          <w:lang w:eastAsia="zh-CN"/>
        </w:rPr>
        <w:t>得</w:t>
      </w:r>
      <w:r>
        <w:rPr>
          <w:rFonts w:hint="eastAsia" w:ascii="仿宋_GB2312" w:hAnsi="仿宋" w:eastAsia="仿宋_GB2312"/>
          <w:color w:val="000000"/>
          <w:sz w:val="28"/>
          <w:szCs w:val="28"/>
        </w:rPr>
        <w:t>提高间接费用比例</w:t>
      </w:r>
      <w:r>
        <w:rPr>
          <w:rFonts w:hint="eastAsia" w:ascii="仿宋_GB2312" w:hAnsi="仿宋" w:eastAsia="仿宋_GB2312"/>
          <w:color w:val="000000"/>
          <w:sz w:val="28"/>
          <w:szCs w:val="28"/>
          <w:lang w:eastAsia="zh-CN"/>
        </w:rPr>
        <w:t>。</w:t>
      </w:r>
    </w:p>
    <w:p w14:paraId="7DD1E911">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sz w:val="28"/>
          <w:szCs w:val="28"/>
          <w:lang w:eastAsia="zh-CN"/>
        </w:rPr>
        <w:t>（</w:t>
      </w:r>
      <w:r>
        <w:rPr>
          <w:rFonts w:hint="eastAsia" w:ascii="仿宋_GB2312" w:hAnsi="仿宋" w:eastAsia="仿宋_GB2312"/>
          <w:sz w:val="28"/>
          <w:szCs w:val="28"/>
          <w:lang w:val="en-US" w:eastAsia="zh-CN"/>
        </w:rPr>
        <w:t>2</w:t>
      </w:r>
      <w:r>
        <w:rPr>
          <w:rFonts w:hint="eastAsia" w:ascii="仿宋_GB2312" w:hAnsi="仿宋" w:eastAsia="仿宋_GB2312"/>
          <w:sz w:val="28"/>
          <w:szCs w:val="28"/>
          <w:lang w:eastAsia="zh-CN"/>
        </w:rPr>
        <w:t>）对于</w:t>
      </w:r>
      <w:r>
        <w:rPr>
          <w:rFonts w:hint="eastAsia" w:ascii="仿宋_GB2312" w:hAnsi="仿宋" w:eastAsia="仿宋_GB2312"/>
          <w:color w:val="000000"/>
          <w:sz w:val="28"/>
          <w:szCs w:val="28"/>
        </w:rPr>
        <w:t>不核定间接费用的项目</w:t>
      </w:r>
      <w:r>
        <w:rPr>
          <w:rFonts w:hint="eastAsia" w:ascii="仿宋_GB2312" w:hAnsi="仿宋" w:eastAsia="仿宋_GB2312"/>
          <w:color w:val="000000"/>
          <w:sz w:val="28"/>
          <w:szCs w:val="28"/>
          <w:lang w:eastAsia="zh-CN"/>
        </w:rPr>
        <w:t>：</w:t>
      </w:r>
      <w:r>
        <w:rPr>
          <w:rFonts w:hint="eastAsia" w:ascii="仿宋_GB2312" w:hAnsi="仿宋" w:eastAsia="仿宋_GB2312"/>
          <w:color w:val="000000"/>
          <w:sz w:val="28"/>
          <w:szCs w:val="28"/>
        </w:rPr>
        <w:t>不</w:t>
      </w:r>
      <w:r>
        <w:rPr>
          <w:rFonts w:hint="eastAsia" w:ascii="仿宋_GB2312" w:hAnsi="仿宋" w:eastAsia="仿宋_GB2312"/>
          <w:color w:val="000000"/>
          <w:sz w:val="28"/>
          <w:szCs w:val="28"/>
          <w:lang w:eastAsia="zh-CN"/>
        </w:rPr>
        <w:t>得</w:t>
      </w:r>
      <w:r>
        <w:rPr>
          <w:rFonts w:hint="eastAsia" w:ascii="仿宋_GB2312" w:hAnsi="仿宋" w:eastAsia="仿宋_GB2312"/>
          <w:color w:val="000000"/>
          <w:sz w:val="28"/>
          <w:szCs w:val="28"/>
        </w:rPr>
        <w:t>进行间接费用预算调整，该栏目填列数值应为0</w:t>
      </w:r>
      <w:r>
        <w:rPr>
          <w:rFonts w:hint="eastAsia" w:ascii="仿宋_GB2312" w:hAnsi="仿宋" w:eastAsia="仿宋_GB2312"/>
          <w:color w:val="000000"/>
          <w:sz w:val="28"/>
          <w:szCs w:val="28"/>
          <w:lang w:eastAsia="zh-CN"/>
        </w:rPr>
        <w:t>。</w:t>
      </w:r>
    </w:p>
    <w:p w14:paraId="4D210E76">
      <w:pPr>
        <w:pStyle w:val="6"/>
        <w:spacing w:line="560" w:lineRule="exact"/>
        <w:ind w:left="0" w:firstLine="562" w:firstLineChars="200"/>
        <w:rPr>
          <w:rFonts w:ascii="仿宋_GB2312" w:hAnsi="仿宋" w:eastAsia="仿宋_GB2312"/>
          <w:b/>
          <w:sz w:val="28"/>
          <w:szCs w:val="28"/>
        </w:rPr>
      </w:pPr>
      <w:r>
        <w:rPr>
          <w:rFonts w:hint="eastAsia" w:ascii="仿宋_GB2312" w:hAnsi="仿宋" w:eastAsia="仿宋_GB2312"/>
          <w:b/>
          <w:color w:val="000000"/>
          <w:sz w:val="28"/>
          <w:szCs w:val="28"/>
        </w:rPr>
        <w:t>（二）</w:t>
      </w:r>
      <w:r>
        <w:rPr>
          <w:rFonts w:hint="eastAsia" w:ascii="仿宋_GB2312" w:hAnsi="仿宋" w:eastAsia="仿宋_GB2312"/>
          <w:b/>
          <w:color w:val="000000"/>
          <w:sz w:val="28"/>
          <w:szCs w:val="28"/>
          <w:lang w:eastAsia="zh-CN"/>
        </w:rPr>
        <w:t>《</w:t>
      </w:r>
      <w:r>
        <w:rPr>
          <w:rFonts w:hint="eastAsia" w:ascii="仿宋_GB2312" w:hAnsi="仿宋" w:eastAsia="仿宋_GB2312"/>
          <w:b/>
          <w:color w:val="000000"/>
          <w:sz w:val="28"/>
          <w:szCs w:val="28"/>
        </w:rPr>
        <w:t>决算说明书</w:t>
      </w:r>
      <w:r>
        <w:rPr>
          <w:rFonts w:hint="eastAsia" w:ascii="仿宋_GB2312" w:hAnsi="仿宋" w:eastAsia="仿宋_GB2312"/>
          <w:b/>
          <w:color w:val="000000"/>
          <w:sz w:val="28"/>
          <w:szCs w:val="28"/>
          <w:lang w:eastAsia="zh-CN"/>
        </w:rPr>
        <w:t>》</w:t>
      </w:r>
    </w:p>
    <w:p w14:paraId="106447A8">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rPr>
        <w:t>对</w:t>
      </w:r>
      <w:r>
        <w:rPr>
          <w:rFonts w:hint="eastAsia" w:ascii="仿宋_GB2312" w:hAnsi="仿宋" w:eastAsia="仿宋_GB2312"/>
          <w:color w:val="000000"/>
          <w:sz w:val="28"/>
          <w:szCs w:val="28"/>
          <w:lang w:eastAsia="zh-CN"/>
        </w:rPr>
        <w:t>《</w:t>
      </w:r>
      <w:r>
        <w:rPr>
          <w:rFonts w:hint="eastAsia" w:ascii="仿宋_GB2312" w:hAnsi="仿宋" w:eastAsia="仿宋_GB2312"/>
          <w:color w:val="000000"/>
          <w:sz w:val="28"/>
          <w:szCs w:val="28"/>
        </w:rPr>
        <w:t>决算表</w:t>
      </w:r>
      <w:r>
        <w:rPr>
          <w:rFonts w:hint="eastAsia" w:ascii="仿宋_GB2312" w:hAnsi="仿宋" w:eastAsia="仿宋_GB2312"/>
          <w:color w:val="000000"/>
          <w:sz w:val="28"/>
          <w:szCs w:val="28"/>
          <w:lang w:eastAsia="zh-CN"/>
        </w:rPr>
        <w:t>》</w:t>
      </w:r>
      <w:r>
        <w:rPr>
          <w:rFonts w:hint="eastAsia" w:ascii="仿宋_GB2312" w:hAnsi="仿宋" w:eastAsia="仿宋_GB2312"/>
          <w:color w:val="000000"/>
          <w:sz w:val="28"/>
          <w:szCs w:val="28"/>
        </w:rPr>
        <w:t>中</w:t>
      </w:r>
      <w:r>
        <w:rPr>
          <w:rFonts w:hint="eastAsia" w:ascii="仿宋_GB2312" w:hAnsi="仿宋" w:eastAsia="仿宋_GB2312"/>
          <w:color w:val="000000"/>
          <w:sz w:val="28"/>
          <w:szCs w:val="28"/>
          <w:lang w:eastAsia="zh-CN"/>
        </w:rPr>
        <w:t>填报数据进行</w:t>
      </w:r>
      <w:r>
        <w:rPr>
          <w:rFonts w:hint="eastAsia" w:ascii="仿宋_GB2312" w:hAnsi="仿宋" w:eastAsia="仿宋_GB2312"/>
          <w:color w:val="000000"/>
          <w:sz w:val="28"/>
          <w:szCs w:val="28"/>
        </w:rPr>
        <w:t>必要说明，包括：</w:t>
      </w:r>
      <w:r>
        <w:rPr>
          <w:rFonts w:hint="eastAsia" w:ascii="仿宋_GB2312" w:hAnsi="仿宋" w:eastAsia="仿宋_GB2312"/>
          <w:color w:val="000000"/>
          <w:sz w:val="28"/>
          <w:szCs w:val="28"/>
          <w:lang w:eastAsia="zh-CN"/>
        </w:rPr>
        <w:t>各科目支出、预算调整、结余</w:t>
      </w:r>
      <w:r>
        <w:rPr>
          <w:rFonts w:hint="eastAsia" w:ascii="仿宋_GB2312" w:hAnsi="仿宋" w:eastAsia="仿宋_GB2312"/>
          <w:color w:val="000000"/>
          <w:sz w:val="28"/>
          <w:szCs w:val="28"/>
        </w:rPr>
        <w:t>情况</w:t>
      </w:r>
      <w:r>
        <w:rPr>
          <w:rFonts w:hint="eastAsia" w:ascii="仿宋_GB2312" w:hAnsi="仿宋" w:eastAsia="仿宋_GB2312"/>
          <w:color w:val="000000"/>
          <w:sz w:val="28"/>
          <w:szCs w:val="28"/>
          <w:lang w:eastAsia="zh-CN"/>
        </w:rPr>
        <w:t>，</w:t>
      </w:r>
      <w:r>
        <w:rPr>
          <w:rFonts w:hint="eastAsia" w:ascii="仿宋_GB2312" w:hAnsi="仿宋" w:eastAsia="仿宋_GB2312"/>
          <w:color w:val="000000"/>
          <w:sz w:val="28"/>
          <w:szCs w:val="28"/>
        </w:rPr>
        <w:t>合作研究</w:t>
      </w:r>
      <w:r>
        <w:rPr>
          <w:rFonts w:hint="eastAsia" w:ascii="仿宋_GB2312" w:hAnsi="仿宋" w:eastAsia="仿宋_GB2312"/>
          <w:color w:val="000000"/>
          <w:sz w:val="28"/>
          <w:szCs w:val="28"/>
          <w:lang w:eastAsia="zh-CN"/>
        </w:rPr>
        <w:t>转</w:t>
      </w:r>
      <w:r>
        <w:rPr>
          <w:rFonts w:hint="eastAsia" w:ascii="仿宋_GB2312" w:hAnsi="仿宋" w:eastAsia="仿宋_GB2312"/>
          <w:color w:val="000000"/>
          <w:sz w:val="28"/>
          <w:szCs w:val="28"/>
        </w:rPr>
        <w:t>拨资金情况</w:t>
      </w:r>
      <w:r>
        <w:rPr>
          <w:rFonts w:hint="eastAsia" w:ascii="仿宋_GB2312" w:hAnsi="仿宋" w:eastAsia="仿宋_GB2312"/>
          <w:color w:val="000000"/>
          <w:sz w:val="28"/>
          <w:szCs w:val="28"/>
          <w:lang w:eastAsia="zh-CN"/>
        </w:rPr>
        <w:t>，</w:t>
      </w:r>
      <w:r>
        <w:rPr>
          <w:rFonts w:hint="eastAsia" w:ascii="仿宋_GB2312" w:hAnsi="仿宋" w:eastAsia="仿宋_GB2312"/>
          <w:color w:val="000000"/>
          <w:sz w:val="28"/>
          <w:szCs w:val="28"/>
        </w:rPr>
        <w:t>单价</w:t>
      </w:r>
      <w:r>
        <w:rPr>
          <w:rFonts w:hint="eastAsia" w:ascii="仿宋_GB2312" w:hAnsi="仿宋" w:eastAsia="仿宋_GB2312"/>
          <w:color w:val="000000"/>
          <w:sz w:val="28"/>
          <w:szCs w:val="28"/>
          <w:lang w:eastAsia="zh-CN"/>
        </w:rPr>
        <w:t>≥</w:t>
      </w:r>
      <w:r>
        <w:rPr>
          <w:rFonts w:hint="eastAsia" w:ascii="仿宋_GB2312" w:hAnsi="仿宋" w:eastAsia="仿宋_GB2312"/>
          <w:color w:val="000000"/>
          <w:sz w:val="28"/>
          <w:szCs w:val="28"/>
        </w:rPr>
        <w:t>50万元的设备情况</w:t>
      </w:r>
      <w:r>
        <w:rPr>
          <w:rFonts w:hint="eastAsia" w:ascii="仿宋_GB2312" w:hAnsi="仿宋" w:eastAsia="仿宋_GB2312"/>
          <w:color w:val="000000"/>
          <w:sz w:val="28"/>
          <w:szCs w:val="28"/>
          <w:lang w:eastAsia="zh-CN"/>
        </w:rPr>
        <w:t>，</w:t>
      </w:r>
      <w:r>
        <w:rPr>
          <w:rFonts w:hint="eastAsia" w:ascii="仿宋_GB2312" w:hAnsi="仿宋" w:eastAsia="仿宋_GB2312"/>
          <w:color w:val="000000"/>
          <w:sz w:val="28"/>
          <w:szCs w:val="28"/>
        </w:rPr>
        <w:t>资金使用和管理过程中遇到的问题及建议，以及其他需要说明的事项等。</w:t>
      </w:r>
      <w:r>
        <w:rPr>
          <w:rFonts w:hint="eastAsia" w:ascii="仿宋_GB2312" w:hAnsi="仿宋" w:eastAsia="仿宋_GB2312"/>
          <w:bCs/>
          <w:color w:val="000000"/>
          <w:sz w:val="28"/>
          <w:szCs w:val="28"/>
          <w:lang w:eastAsia="zh-CN"/>
        </w:rPr>
        <w:t>《</w:t>
      </w:r>
      <w:r>
        <w:rPr>
          <w:rFonts w:hint="eastAsia" w:ascii="仿宋_GB2312" w:hAnsi="仿宋" w:eastAsia="仿宋_GB2312"/>
          <w:bCs/>
          <w:color w:val="000000"/>
          <w:sz w:val="28"/>
          <w:szCs w:val="28"/>
        </w:rPr>
        <w:t>决算说明书</w:t>
      </w:r>
      <w:r>
        <w:rPr>
          <w:rFonts w:hint="eastAsia" w:ascii="仿宋_GB2312" w:hAnsi="仿宋" w:eastAsia="仿宋_GB2312"/>
          <w:bCs/>
          <w:color w:val="000000"/>
          <w:sz w:val="28"/>
          <w:szCs w:val="28"/>
          <w:lang w:eastAsia="zh-CN"/>
        </w:rPr>
        <w:t>》</w:t>
      </w:r>
      <w:r>
        <w:rPr>
          <w:rFonts w:hint="eastAsia" w:ascii="仿宋_GB2312" w:hAnsi="仿宋" w:eastAsia="仿宋_GB2312"/>
          <w:color w:val="000000"/>
          <w:sz w:val="28"/>
          <w:szCs w:val="28"/>
          <w:lang w:eastAsia="zh-CN"/>
        </w:rPr>
        <w:t>填报</w:t>
      </w:r>
      <w:r>
        <w:rPr>
          <w:rFonts w:hint="eastAsia" w:ascii="仿宋_GB2312" w:hAnsi="仿宋" w:eastAsia="仿宋_GB2312"/>
          <w:bCs/>
          <w:color w:val="000000"/>
          <w:sz w:val="28"/>
          <w:szCs w:val="28"/>
          <w:lang w:eastAsia="zh-CN"/>
        </w:rPr>
        <w:t>内容应与《决算表》中填列数据保持一致。</w:t>
      </w:r>
    </w:p>
    <w:p w14:paraId="41B890FC">
      <w:pPr>
        <w:pStyle w:val="6"/>
        <w:spacing w:line="560" w:lineRule="exact"/>
        <w:ind w:left="0" w:firstLine="562" w:firstLineChars="200"/>
        <w:rPr>
          <w:rFonts w:ascii="仿宋_GB2312" w:hAnsi="仿宋" w:eastAsia="仿宋_GB2312"/>
          <w:b/>
          <w:bCs/>
          <w:color w:val="000000"/>
          <w:sz w:val="28"/>
          <w:szCs w:val="28"/>
        </w:rPr>
      </w:pPr>
      <w:bookmarkStart w:id="0" w:name="_GoBack"/>
      <w:r>
        <w:rPr>
          <w:rFonts w:hint="eastAsia" w:ascii="仿宋_GB2312" w:hAnsi="仿宋" w:eastAsia="仿宋_GB2312"/>
          <w:b/>
          <w:bCs/>
          <w:color w:val="000000"/>
          <w:sz w:val="28"/>
          <w:szCs w:val="28"/>
          <w:highlight w:val="yellow"/>
          <w:lang w:eastAsia="zh-CN"/>
        </w:rPr>
        <w:t>对于结余资金比例超过</w:t>
      </w:r>
      <w:r>
        <w:rPr>
          <w:rFonts w:hint="eastAsia" w:ascii="仿宋_GB2312" w:hAnsi="仿宋" w:eastAsia="仿宋_GB2312"/>
          <w:b/>
          <w:bCs/>
          <w:color w:val="000000"/>
          <w:sz w:val="28"/>
          <w:szCs w:val="28"/>
          <w:highlight w:val="yellow"/>
          <w:lang w:val="en-US" w:eastAsia="zh-CN"/>
        </w:rPr>
        <w:t>30%的项目，项目负责人应当详细说明结余资金产生的原因及后续资金使用计划。</w:t>
      </w:r>
      <w:bookmarkEnd w:id="0"/>
    </w:p>
    <w:p w14:paraId="1607576A">
      <w:pPr>
        <w:pStyle w:val="6"/>
        <w:spacing w:line="560" w:lineRule="exact"/>
        <w:ind w:left="0" w:firstLine="562" w:firstLineChars="200"/>
        <w:rPr>
          <w:rFonts w:ascii="黑体" w:hAnsi="黑体" w:eastAsia="黑体"/>
          <w:b/>
          <w:color w:val="000000"/>
          <w:sz w:val="28"/>
          <w:szCs w:val="28"/>
        </w:rPr>
      </w:pPr>
      <w:r>
        <w:rPr>
          <w:rFonts w:hint="eastAsia" w:ascii="黑体" w:hAnsi="黑体" w:eastAsia="黑体"/>
          <w:b/>
          <w:color w:val="000000"/>
          <w:sz w:val="28"/>
          <w:szCs w:val="28"/>
        </w:rPr>
        <w:t>三、新旧科目衔接</w:t>
      </w:r>
    </w:p>
    <w:p w14:paraId="52D6A3D2">
      <w:pPr>
        <w:pStyle w:val="6"/>
        <w:spacing w:line="560" w:lineRule="exact"/>
        <w:ind w:left="0" w:firstLine="560" w:firstLineChars="200"/>
        <w:rPr>
          <w:rFonts w:ascii="仿宋_GB2312" w:hAnsi="仿宋" w:eastAsia="仿宋_GB2312"/>
          <w:color w:val="000000"/>
          <w:sz w:val="28"/>
          <w:szCs w:val="28"/>
        </w:rPr>
      </w:pPr>
      <w:r>
        <w:rPr>
          <w:rFonts w:hint="eastAsia" w:ascii="仿宋_GB2312" w:hAnsi="仿宋" w:eastAsia="仿宋_GB2312"/>
          <w:color w:val="000000"/>
          <w:sz w:val="28"/>
          <w:szCs w:val="28"/>
        </w:rPr>
        <w:t>填报决算时，</w:t>
      </w:r>
      <w:r>
        <w:rPr>
          <w:rFonts w:hint="eastAsia" w:ascii="仿宋_GB2312" w:hAnsi="仿宋" w:eastAsia="仿宋_GB2312"/>
          <w:color w:val="000000"/>
          <w:sz w:val="28"/>
          <w:szCs w:val="28"/>
          <w:lang w:eastAsia="zh-CN"/>
        </w:rPr>
        <w:t>如</w:t>
      </w:r>
      <w:r>
        <w:rPr>
          <w:rFonts w:hint="eastAsia" w:ascii="仿宋_GB2312" w:hAnsi="仿宋" w:eastAsia="仿宋_GB2312"/>
          <w:color w:val="000000"/>
          <w:sz w:val="28"/>
          <w:szCs w:val="28"/>
        </w:rPr>
        <w:t>需要进行新旧科目衔接，原科目均需衔接到新决算表中的对应科目。具体对应关系如下表。</w:t>
      </w:r>
    </w:p>
    <w:p w14:paraId="47AA85E9">
      <w:pPr>
        <w:pStyle w:val="6"/>
        <w:spacing w:line="560" w:lineRule="exact"/>
        <w:ind w:left="0" w:firstLine="422" w:firstLineChars="200"/>
        <w:jc w:val="center"/>
        <w:rPr>
          <w:rFonts w:ascii="仿宋" w:hAnsi="仿宋" w:eastAsia="仿宋" w:cs="仿宋_GB2312"/>
          <w:b/>
          <w:sz w:val="21"/>
          <w:szCs w:val="21"/>
        </w:rPr>
      </w:pPr>
      <w:r>
        <w:rPr>
          <w:rFonts w:hint="eastAsia" w:ascii="仿宋" w:hAnsi="仿宋" w:eastAsia="仿宋" w:cs="仿宋_GB2312"/>
          <w:b/>
          <w:sz w:val="21"/>
          <w:szCs w:val="21"/>
        </w:rPr>
        <w:t>表1项目决算表科目衔接</w:t>
      </w:r>
    </w:p>
    <w:tbl>
      <w:tblPr>
        <w:tblStyle w:val="7"/>
        <w:tblW w:w="81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74"/>
        <w:gridCol w:w="2915"/>
      </w:tblGrid>
      <w:tr w14:paraId="55387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5274" w:type="dxa"/>
            <w:tcBorders>
              <w:top w:val="single" w:color="auto" w:sz="4" w:space="0"/>
              <w:left w:val="single" w:color="auto" w:sz="4" w:space="0"/>
              <w:bottom w:val="single" w:color="auto" w:sz="4" w:space="0"/>
              <w:right w:val="single" w:color="auto" w:sz="4" w:space="0"/>
            </w:tcBorders>
            <w:noWrap/>
            <w:vAlign w:val="center"/>
          </w:tcPr>
          <w:p w14:paraId="7897EA8C">
            <w:pPr>
              <w:spacing w:line="240" w:lineRule="exact"/>
              <w:jc w:val="center"/>
              <w:rPr>
                <w:rFonts w:ascii="仿宋" w:hAnsi="仿宋" w:eastAsia="仿宋"/>
                <w:b/>
                <w:szCs w:val="21"/>
              </w:rPr>
            </w:pPr>
            <w:r>
              <w:rPr>
                <w:rFonts w:hint="eastAsia" w:ascii="仿宋" w:hAnsi="仿宋" w:eastAsia="仿宋" w:cs="仿宋_GB2312"/>
                <w:b/>
                <w:szCs w:val="21"/>
              </w:rPr>
              <w:t>旧表科目</w:t>
            </w:r>
          </w:p>
        </w:tc>
        <w:tc>
          <w:tcPr>
            <w:tcW w:w="2915" w:type="dxa"/>
            <w:tcBorders>
              <w:top w:val="single" w:color="auto" w:sz="4" w:space="0"/>
              <w:left w:val="single" w:color="auto" w:sz="4" w:space="0"/>
              <w:bottom w:val="single" w:color="auto" w:sz="4" w:space="0"/>
              <w:right w:val="single" w:color="auto" w:sz="4" w:space="0"/>
            </w:tcBorders>
            <w:noWrap/>
            <w:vAlign w:val="center"/>
          </w:tcPr>
          <w:p w14:paraId="13AD212F">
            <w:pPr>
              <w:spacing w:line="240" w:lineRule="exact"/>
              <w:jc w:val="center"/>
              <w:rPr>
                <w:rFonts w:ascii="仿宋" w:hAnsi="仿宋" w:eastAsia="仿宋"/>
                <w:b/>
                <w:szCs w:val="21"/>
              </w:rPr>
            </w:pPr>
            <w:r>
              <w:rPr>
                <w:rFonts w:hint="eastAsia" w:ascii="仿宋" w:hAnsi="仿宋" w:eastAsia="仿宋" w:cs="仿宋_GB2312"/>
                <w:b/>
                <w:szCs w:val="21"/>
              </w:rPr>
              <w:t>旧表对应新表科目</w:t>
            </w:r>
          </w:p>
        </w:tc>
      </w:tr>
      <w:tr w14:paraId="3D449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274" w:type="dxa"/>
            <w:tcBorders>
              <w:top w:val="single" w:color="auto" w:sz="4" w:space="0"/>
              <w:left w:val="single" w:color="auto" w:sz="4" w:space="0"/>
              <w:bottom w:val="single" w:color="auto" w:sz="4" w:space="0"/>
              <w:right w:val="single" w:color="auto" w:sz="4" w:space="0"/>
            </w:tcBorders>
            <w:noWrap/>
            <w:vAlign w:val="center"/>
          </w:tcPr>
          <w:p w14:paraId="354B6E9A">
            <w:pPr>
              <w:spacing w:line="240" w:lineRule="exact"/>
              <w:rPr>
                <w:rFonts w:ascii="仿宋" w:hAnsi="仿宋" w:eastAsia="仿宋" w:cs="仿宋_GB2312"/>
                <w:szCs w:val="21"/>
              </w:rPr>
            </w:pPr>
            <w:r>
              <w:rPr>
                <w:rFonts w:ascii="仿宋" w:hAnsi="仿宋" w:eastAsia="仿宋" w:cs="仿宋_GB2312"/>
                <w:szCs w:val="21"/>
              </w:rPr>
              <w:t>1</w:t>
            </w:r>
            <w:r>
              <w:rPr>
                <w:rFonts w:hint="eastAsia" w:ascii="仿宋" w:hAnsi="仿宋" w:eastAsia="仿宋" w:cs="仿宋_GB2312"/>
                <w:szCs w:val="21"/>
              </w:rPr>
              <w:t>.设备费</w:t>
            </w:r>
          </w:p>
        </w:tc>
        <w:tc>
          <w:tcPr>
            <w:tcW w:w="2915" w:type="dxa"/>
            <w:vMerge w:val="restart"/>
            <w:tcBorders>
              <w:top w:val="single" w:color="auto" w:sz="4" w:space="0"/>
              <w:left w:val="single" w:color="auto" w:sz="4" w:space="0"/>
              <w:right w:val="single" w:color="auto" w:sz="4" w:space="0"/>
            </w:tcBorders>
            <w:noWrap/>
            <w:vAlign w:val="center"/>
          </w:tcPr>
          <w:p w14:paraId="148FC090">
            <w:pPr>
              <w:spacing w:line="400" w:lineRule="exact"/>
              <w:rPr>
                <w:rFonts w:ascii="仿宋" w:hAnsi="仿宋" w:eastAsia="仿宋"/>
                <w:szCs w:val="21"/>
              </w:rPr>
            </w:pPr>
            <w:r>
              <w:rPr>
                <w:rFonts w:hint="eastAsia" w:ascii="仿宋" w:hAnsi="仿宋" w:eastAsia="仿宋"/>
                <w:szCs w:val="21"/>
              </w:rPr>
              <w:t>1.设备费</w:t>
            </w:r>
          </w:p>
          <w:p w14:paraId="43629D6C">
            <w:pPr>
              <w:spacing w:line="400" w:lineRule="exact"/>
              <w:rPr>
                <w:rFonts w:ascii="仿宋" w:hAnsi="仿宋" w:eastAsia="仿宋"/>
                <w:szCs w:val="21"/>
              </w:rPr>
            </w:pPr>
            <w:r>
              <w:rPr>
                <w:rFonts w:hint="eastAsia" w:ascii="仿宋" w:hAnsi="仿宋" w:eastAsia="仿宋"/>
                <w:szCs w:val="21"/>
              </w:rPr>
              <w:t xml:space="preserve">   其中：设备购置费</w:t>
            </w:r>
          </w:p>
          <w:p w14:paraId="79F0F5B9">
            <w:pPr>
              <w:spacing w:line="240" w:lineRule="exact"/>
              <w:rPr>
                <w:rFonts w:ascii="仿宋" w:hAnsi="仿宋" w:eastAsia="仿宋"/>
                <w:szCs w:val="21"/>
              </w:rPr>
            </w:pPr>
          </w:p>
        </w:tc>
      </w:tr>
      <w:tr w14:paraId="77045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274" w:type="dxa"/>
            <w:tcBorders>
              <w:top w:val="single" w:color="auto" w:sz="4" w:space="0"/>
              <w:left w:val="single" w:color="auto" w:sz="4" w:space="0"/>
              <w:bottom w:val="single" w:color="auto" w:sz="4" w:space="0"/>
              <w:right w:val="single" w:color="auto" w:sz="4" w:space="0"/>
            </w:tcBorders>
            <w:noWrap/>
            <w:vAlign w:val="center"/>
          </w:tcPr>
          <w:p w14:paraId="4952AED0">
            <w:pPr>
              <w:spacing w:line="240" w:lineRule="exact"/>
              <w:rPr>
                <w:rFonts w:ascii="仿宋" w:hAnsi="仿宋" w:eastAsia="仿宋" w:cs="仿宋_GB2312"/>
                <w:szCs w:val="21"/>
              </w:rPr>
            </w:pPr>
            <w:r>
              <w:rPr>
                <w:rFonts w:hint="eastAsia" w:ascii="仿宋" w:hAnsi="仿宋" w:eastAsia="仿宋" w:cs="仿宋_GB2312"/>
                <w:szCs w:val="21"/>
              </w:rPr>
              <w:t>（</w:t>
            </w:r>
            <w:r>
              <w:rPr>
                <w:rFonts w:ascii="仿宋" w:hAnsi="仿宋" w:eastAsia="仿宋" w:cs="仿宋_GB2312"/>
                <w:szCs w:val="21"/>
              </w:rPr>
              <w:t>1</w:t>
            </w:r>
            <w:r>
              <w:rPr>
                <w:rFonts w:hint="eastAsia" w:ascii="仿宋" w:hAnsi="仿宋" w:eastAsia="仿宋" w:cs="仿宋_GB2312"/>
                <w:szCs w:val="21"/>
              </w:rPr>
              <w:t>）设备购置费</w:t>
            </w:r>
          </w:p>
        </w:tc>
        <w:tc>
          <w:tcPr>
            <w:tcW w:w="2915" w:type="dxa"/>
            <w:vMerge w:val="continue"/>
            <w:tcBorders>
              <w:left w:val="single" w:color="auto" w:sz="4" w:space="0"/>
              <w:right w:val="single" w:color="auto" w:sz="4" w:space="0"/>
            </w:tcBorders>
            <w:noWrap/>
            <w:vAlign w:val="center"/>
          </w:tcPr>
          <w:p w14:paraId="4145B003">
            <w:pPr>
              <w:spacing w:line="240" w:lineRule="exact"/>
              <w:rPr>
                <w:rFonts w:ascii="仿宋" w:hAnsi="仿宋" w:eastAsia="仿宋"/>
                <w:szCs w:val="21"/>
              </w:rPr>
            </w:pPr>
          </w:p>
        </w:tc>
      </w:tr>
      <w:tr w14:paraId="47ED0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274" w:type="dxa"/>
            <w:tcBorders>
              <w:top w:val="single" w:color="auto" w:sz="4" w:space="0"/>
              <w:left w:val="single" w:color="auto" w:sz="4" w:space="0"/>
              <w:bottom w:val="single" w:color="auto" w:sz="4" w:space="0"/>
              <w:right w:val="single" w:color="auto" w:sz="4" w:space="0"/>
            </w:tcBorders>
            <w:noWrap/>
            <w:vAlign w:val="center"/>
          </w:tcPr>
          <w:p w14:paraId="1691C68E">
            <w:pPr>
              <w:spacing w:line="240" w:lineRule="exact"/>
              <w:rPr>
                <w:rFonts w:ascii="仿宋" w:hAnsi="仿宋" w:eastAsia="仿宋" w:cs="仿宋_GB2312"/>
                <w:szCs w:val="21"/>
              </w:rPr>
            </w:pPr>
            <w:r>
              <w:rPr>
                <w:rFonts w:hint="eastAsia" w:ascii="仿宋" w:hAnsi="仿宋" w:eastAsia="仿宋" w:cs="仿宋_GB2312"/>
                <w:szCs w:val="21"/>
              </w:rPr>
              <w:t>（</w:t>
            </w:r>
            <w:r>
              <w:rPr>
                <w:rFonts w:ascii="仿宋" w:hAnsi="仿宋" w:eastAsia="仿宋" w:cs="仿宋_GB2312"/>
                <w:szCs w:val="21"/>
              </w:rPr>
              <w:t>2</w:t>
            </w:r>
            <w:r>
              <w:rPr>
                <w:rFonts w:hint="eastAsia" w:ascii="仿宋" w:hAnsi="仿宋" w:eastAsia="仿宋" w:cs="仿宋_GB2312"/>
                <w:szCs w:val="21"/>
              </w:rPr>
              <w:t>）设备试制费</w:t>
            </w:r>
          </w:p>
        </w:tc>
        <w:tc>
          <w:tcPr>
            <w:tcW w:w="2915" w:type="dxa"/>
            <w:vMerge w:val="continue"/>
            <w:tcBorders>
              <w:left w:val="single" w:color="auto" w:sz="4" w:space="0"/>
              <w:right w:val="single" w:color="auto" w:sz="4" w:space="0"/>
            </w:tcBorders>
            <w:noWrap/>
            <w:vAlign w:val="center"/>
          </w:tcPr>
          <w:p w14:paraId="337CC1C7">
            <w:pPr>
              <w:spacing w:line="240" w:lineRule="exact"/>
              <w:rPr>
                <w:rFonts w:ascii="仿宋" w:hAnsi="仿宋" w:eastAsia="仿宋"/>
                <w:szCs w:val="21"/>
              </w:rPr>
            </w:pPr>
          </w:p>
        </w:tc>
      </w:tr>
      <w:tr w14:paraId="203E5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274" w:type="dxa"/>
            <w:tcBorders>
              <w:top w:val="single" w:color="auto" w:sz="4" w:space="0"/>
              <w:left w:val="single" w:color="auto" w:sz="4" w:space="0"/>
              <w:bottom w:val="single" w:color="auto" w:sz="4" w:space="0"/>
              <w:right w:val="single" w:color="auto" w:sz="4" w:space="0"/>
            </w:tcBorders>
            <w:noWrap/>
            <w:vAlign w:val="center"/>
          </w:tcPr>
          <w:p w14:paraId="1E73E45D">
            <w:pPr>
              <w:spacing w:line="240" w:lineRule="exact"/>
              <w:rPr>
                <w:rFonts w:ascii="仿宋" w:hAnsi="仿宋" w:eastAsia="仿宋" w:cs="仿宋_GB2312"/>
                <w:szCs w:val="21"/>
              </w:rPr>
            </w:pPr>
            <w:r>
              <w:rPr>
                <w:rFonts w:hint="eastAsia" w:ascii="仿宋" w:hAnsi="仿宋" w:eastAsia="仿宋" w:cs="仿宋_GB2312"/>
                <w:szCs w:val="21"/>
              </w:rPr>
              <w:t>（</w:t>
            </w:r>
            <w:r>
              <w:rPr>
                <w:rFonts w:ascii="仿宋" w:hAnsi="仿宋" w:eastAsia="仿宋" w:cs="仿宋_GB2312"/>
                <w:szCs w:val="21"/>
              </w:rPr>
              <w:t>3</w:t>
            </w:r>
            <w:r>
              <w:rPr>
                <w:rFonts w:hint="eastAsia" w:ascii="仿宋" w:hAnsi="仿宋" w:eastAsia="仿宋" w:cs="仿宋_GB2312"/>
                <w:szCs w:val="21"/>
              </w:rPr>
              <w:t>）设备改造与租赁费</w:t>
            </w:r>
          </w:p>
        </w:tc>
        <w:tc>
          <w:tcPr>
            <w:tcW w:w="2915" w:type="dxa"/>
            <w:vMerge w:val="continue"/>
            <w:tcBorders>
              <w:left w:val="single" w:color="auto" w:sz="4" w:space="0"/>
              <w:bottom w:val="single" w:color="auto" w:sz="4" w:space="0"/>
              <w:right w:val="single" w:color="auto" w:sz="4" w:space="0"/>
            </w:tcBorders>
            <w:noWrap/>
            <w:vAlign w:val="center"/>
          </w:tcPr>
          <w:p w14:paraId="5A9ED629">
            <w:pPr>
              <w:spacing w:line="240" w:lineRule="exact"/>
              <w:rPr>
                <w:rFonts w:ascii="仿宋" w:hAnsi="仿宋" w:eastAsia="仿宋"/>
                <w:szCs w:val="21"/>
              </w:rPr>
            </w:pPr>
          </w:p>
        </w:tc>
      </w:tr>
      <w:tr w14:paraId="4F4FF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274" w:type="dxa"/>
            <w:tcBorders>
              <w:top w:val="single" w:color="auto" w:sz="4" w:space="0"/>
              <w:left w:val="single" w:color="auto" w:sz="4" w:space="0"/>
              <w:bottom w:val="single" w:color="auto" w:sz="4" w:space="0"/>
              <w:right w:val="single" w:color="auto" w:sz="4" w:space="0"/>
            </w:tcBorders>
            <w:noWrap/>
            <w:vAlign w:val="center"/>
          </w:tcPr>
          <w:p w14:paraId="1E8F2D41">
            <w:pPr>
              <w:spacing w:line="240" w:lineRule="exact"/>
              <w:rPr>
                <w:rFonts w:ascii="仿宋" w:hAnsi="仿宋" w:eastAsia="仿宋" w:cs="仿宋_GB2312"/>
                <w:szCs w:val="21"/>
              </w:rPr>
            </w:pPr>
            <w:r>
              <w:rPr>
                <w:rFonts w:ascii="仿宋" w:hAnsi="仿宋" w:eastAsia="仿宋" w:cs="仿宋_GB2312"/>
                <w:szCs w:val="21"/>
              </w:rPr>
              <w:t>2</w:t>
            </w:r>
            <w:r>
              <w:rPr>
                <w:rFonts w:hint="eastAsia" w:ascii="仿宋" w:hAnsi="仿宋" w:eastAsia="仿宋" w:cs="仿宋_GB2312"/>
                <w:szCs w:val="21"/>
              </w:rPr>
              <w:t>.材料费</w:t>
            </w:r>
          </w:p>
        </w:tc>
        <w:tc>
          <w:tcPr>
            <w:tcW w:w="2915" w:type="dxa"/>
            <w:vMerge w:val="restart"/>
            <w:tcBorders>
              <w:top w:val="single" w:color="auto" w:sz="4" w:space="0"/>
              <w:left w:val="single" w:color="auto" w:sz="4" w:space="0"/>
              <w:right w:val="single" w:color="auto" w:sz="4" w:space="0"/>
            </w:tcBorders>
            <w:noWrap/>
            <w:vAlign w:val="center"/>
          </w:tcPr>
          <w:p w14:paraId="60554AC6">
            <w:pPr>
              <w:spacing w:line="240" w:lineRule="exact"/>
              <w:rPr>
                <w:rFonts w:ascii="仿宋" w:hAnsi="仿宋" w:eastAsia="仿宋"/>
                <w:szCs w:val="21"/>
              </w:rPr>
            </w:pPr>
            <w:r>
              <w:rPr>
                <w:rFonts w:hint="eastAsia" w:ascii="仿宋" w:hAnsi="仿宋" w:eastAsia="仿宋" w:cs="仿宋_GB2312"/>
                <w:szCs w:val="21"/>
              </w:rPr>
              <w:t>2.业务费</w:t>
            </w:r>
          </w:p>
        </w:tc>
      </w:tr>
      <w:tr w14:paraId="5A50D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274" w:type="dxa"/>
            <w:tcBorders>
              <w:top w:val="single" w:color="auto" w:sz="4" w:space="0"/>
              <w:left w:val="single" w:color="auto" w:sz="4" w:space="0"/>
              <w:bottom w:val="single" w:color="auto" w:sz="4" w:space="0"/>
              <w:right w:val="single" w:color="auto" w:sz="4" w:space="0"/>
            </w:tcBorders>
            <w:noWrap/>
            <w:vAlign w:val="center"/>
          </w:tcPr>
          <w:p w14:paraId="3AF224CB">
            <w:pPr>
              <w:spacing w:line="240" w:lineRule="exact"/>
              <w:rPr>
                <w:rFonts w:ascii="仿宋" w:hAnsi="仿宋" w:eastAsia="仿宋" w:cs="仿宋_GB2312"/>
                <w:szCs w:val="21"/>
              </w:rPr>
            </w:pPr>
            <w:r>
              <w:rPr>
                <w:rFonts w:ascii="仿宋" w:hAnsi="仿宋" w:eastAsia="仿宋" w:cs="仿宋_GB2312"/>
                <w:szCs w:val="21"/>
              </w:rPr>
              <w:t>3</w:t>
            </w:r>
            <w:r>
              <w:rPr>
                <w:rFonts w:hint="eastAsia" w:ascii="仿宋" w:hAnsi="仿宋" w:eastAsia="仿宋" w:cs="仿宋_GB2312"/>
                <w:szCs w:val="21"/>
              </w:rPr>
              <w:t>.测试化验加工费</w:t>
            </w:r>
          </w:p>
        </w:tc>
        <w:tc>
          <w:tcPr>
            <w:tcW w:w="2915" w:type="dxa"/>
            <w:vMerge w:val="continue"/>
            <w:tcBorders>
              <w:left w:val="single" w:color="auto" w:sz="4" w:space="0"/>
              <w:right w:val="single" w:color="auto" w:sz="4" w:space="0"/>
            </w:tcBorders>
            <w:noWrap/>
            <w:vAlign w:val="center"/>
          </w:tcPr>
          <w:p w14:paraId="70490468">
            <w:pPr>
              <w:spacing w:line="240" w:lineRule="exact"/>
              <w:rPr>
                <w:rFonts w:ascii="仿宋" w:hAnsi="仿宋" w:eastAsia="仿宋"/>
                <w:szCs w:val="21"/>
              </w:rPr>
            </w:pPr>
          </w:p>
        </w:tc>
      </w:tr>
      <w:tr w14:paraId="59523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274" w:type="dxa"/>
            <w:tcBorders>
              <w:top w:val="single" w:color="auto" w:sz="4" w:space="0"/>
              <w:left w:val="single" w:color="auto" w:sz="4" w:space="0"/>
              <w:bottom w:val="single" w:color="auto" w:sz="4" w:space="0"/>
              <w:right w:val="single" w:color="auto" w:sz="4" w:space="0"/>
            </w:tcBorders>
            <w:noWrap/>
            <w:vAlign w:val="center"/>
          </w:tcPr>
          <w:p w14:paraId="06E4EB38">
            <w:pPr>
              <w:spacing w:line="240" w:lineRule="exact"/>
              <w:rPr>
                <w:rFonts w:ascii="仿宋" w:hAnsi="仿宋" w:eastAsia="仿宋" w:cs="仿宋_GB2312"/>
                <w:szCs w:val="21"/>
              </w:rPr>
            </w:pPr>
            <w:r>
              <w:rPr>
                <w:rFonts w:ascii="仿宋" w:hAnsi="仿宋" w:eastAsia="仿宋" w:cs="仿宋_GB2312"/>
                <w:szCs w:val="21"/>
              </w:rPr>
              <w:t>4</w:t>
            </w:r>
            <w:r>
              <w:rPr>
                <w:rFonts w:hint="eastAsia" w:ascii="仿宋" w:hAnsi="仿宋" w:eastAsia="仿宋" w:cs="仿宋_GB2312"/>
                <w:szCs w:val="21"/>
              </w:rPr>
              <w:t>.燃料动力费</w:t>
            </w:r>
          </w:p>
        </w:tc>
        <w:tc>
          <w:tcPr>
            <w:tcW w:w="2915" w:type="dxa"/>
            <w:vMerge w:val="continue"/>
            <w:tcBorders>
              <w:left w:val="single" w:color="auto" w:sz="4" w:space="0"/>
              <w:right w:val="single" w:color="auto" w:sz="4" w:space="0"/>
            </w:tcBorders>
            <w:noWrap/>
            <w:vAlign w:val="center"/>
          </w:tcPr>
          <w:p w14:paraId="5D3E13C3">
            <w:pPr>
              <w:spacing w:line="240" w:lineRule="exact"/>
              <w:rPr>
                <w:rFonts w:ascii="仿宋" w:hAnsi="仿宋" w:eastAsia="仿宋"/>
                <w:szCs w:val="21"/>
              </w:rPr>
            </w:pPr>
          </w:p>
        </w:tc>
      </w:tr>
      <w:tr w14:paraId="690D7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274" w:type="dxa"/>
            <w:tcBorders>
              <w:top w:val="single" w:color="auto" w:sz="4" w:space="0"/>
              <w:left w:val="single" w:color="auto" w:sz="4" w:space="0"/>
              <w:bottom w:val="single" w:color="auto" w:sz="4" w:space="0"/>
              <w:right w:val="single" w:color="auto" w:sz="4" w:space="0"/>
            </w:tcBorders>
            <w:noWrap/>
            <w:vAlign w:val="center"/>
          </w:tcPr>
          <w:p w14:paraId="256EAC10">
            <w:pPr>
              <w:spacing w:line="240" w:lineRule="exact"/>
              <w:rPr>
                <w:rFonts w:ascii="仿宋" w:hAnsi="仿宋" w:eastAsia="仿宋" w:cs="仿宋_GB2312"/>
                <w:szCs w:val="21"/>
              </w:rPr>
            </w:pPr>
            <w:r>
              <w:rPr>
                <w:rFonts w:ascii="仿宋" w:hAnsi="仿宋" w:eastAsia="仿宋" w:cs="仿宋_GB2312"/>
                <w:szCs w:val="21"/>
              </w:rPr>
              <w:t>5</w:t>
            </w:r>
            <w:r>
              <w:rPr>
                <w:rFonts w:hint="eastAsia" w:ascii="仿宋" w:hAnsi="仿宋" w:eastAsia="仿宋" w:cs="仿宋_GB2312"/>
                <w:szCs w:val="21"/>
              </w:rPr>
              <w:t>.会议/差旅/国际合作与交流费</w:t>
            </w:r>
          </w:p>
        </w:tc>
        <w:tc>
          <w:tcPr>
            <w:tcW w:w="2915" w:type="dxa"/>
            <w:vMerge w:val="continue"/>
            <w:tcBorders>
              <w:left w:val="single" w:color="auto" w:sz="4" w:space="0"/>
              <w:right w:val="single" w:color="auto" w:sz="4" w:space="0"/>
            </w:tcBorders>
            <w:noWrap/>
            <w:vAlign w:val="center"/>
          </w:tcPr>
          <w:p w14:paraId="1CBAC711">
            <w:pPr>
              <w:spacing w:line="240" w:lineRule="exact"/>
              <w:rPr>
                <w:rFonts w:ascii="仿宋" w:hAnsi="仿宋" w:eastAsia="仿宋"/>
                <w:szCs w:val="21"/>
              </w:rPr>
            </w:pPr>
          </w:p>
        </w:tc>
      </w:tr>
      <w:tr w14:paraId="4C80A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5274" w:type="dxa"/>
            <w:tcBorders>
              <w:top w:val="single" w:color="auto" w:sz="4" w:space="0"/>
              <w:left w:val="single" w:color="auto" w:sz="4" w:space="0"/>
              <w:bottom w:val="single" w:color="auto" w:sz="4" w:space="0"/>
              <w:right w:val="single" w:color="auto" w:sz="4" w:space="0"/>
            </w:tcBorders>
            <w:noWrap/>
            <w:vAlign w:val="center"/>
          </w:tcPr>
          <w:p w14:paraId="0C749D63">
            <w:pPr>
              <w:spacing w:line="240" w:lineRule="exact"/>
              <w:rPr>
                <w:rFonts w:ascii="仿宋" w:hAnsi="仿宋" w:eastAsia="仿宋" w:cs="仿宋_GB2312"/>
                <w:szCs w:val="21"/>
              </w:rPr>
            </w:pPr>
            <w:r>
              <w:rPr>
                <w:rFonts w:ascii="仿宋" w:hAnsi="仿宋" w:eastAsia="仿宋" w:cs="仿宋_GB2312"/>
                <w:szCs w:val="21"/>
              </w:rPr>
              <w:t>6</w:t>
            </w:r>
            <w:r>
              <w:rPr>
                <w:rFonts w:hint="eastAsia" w:ascii="仿宋" w:hAnsi="仿宋" w:eastAsia="仿宋" w:cs="仿宋_GB2312"/>
                <w:szCs w:val="21"/>
              </w:rPr>
              <w:t>.出版</w:t>
            </w:r>
            <w:r>
              <w:rPr>
                <w:rFonts w:ascii="仿宋" w:hAnsi="仿宋" w:eastAsia="仿宋" w:cs="仿宋_GB2312"/>
                <w:szCs w:val="21"/>
              </w:rPr>
              <w:t>/</w:t>
            </w:r>
            <w:r>
              <w:rPr>
                <w:rFonts w:hint="eastAsia" w:ascii="仿宋" w:hAnsi="仿宋" w:eastAsia="仿宋" w:cs="仿宋_GB2312"/>
                <w:szCs w:val="21"/>
              </w:rPr>
              <w:t>文献</w:t>
            </w:r>
            <w:r>
              <w:rPr>
                <w:rFonts w:ascii="仿宋" w:hAnsi="仿宋" w:eastAsia="仿宋" w:cs="仿宋_GB2312"/>
                <w:szCs w:val="21"/>
              </w:rPr>
              <w:t>/</w:t>
            </w:r>
            <w:r>
              <w:rPr>
                <w:rFonts w:hint="eastAsia" w:ascii="仿宋" w:hAnsi="仿宋" w:eastAsia="仿宋" w:cs="仿宋_GB2312"/>
                <w:szCs w:val="21"/>
              </w:rPr>
              <w:t>信息传播</w:t>
            </w:r>
            <w:r>
              <w:rPr>
                <w:rFonts w:ascii="仿宋" w:hAnsi="仿宋" w:eastAsia="仿宋" w:cs="仿宋_GB2312"/>
                <w:szCs w:val="21"/>
              </w:rPr>
              <w:t>/</w:t>
            </w:r>
            <w:r>
              <w:rPr>
                <w:rFonts w:hint="eastAsia" w:ascii="仿宋" w:hAnsi="仿宋" w:eastAsia="仿宋" w:cs="仿宋_GB2312"/>
                <w:szCs w:val="21"/>
              </w:rPr>
              <w:t>知识产权事务费</w:t>
            </w:r>
          </w:p>
        </w:tc>
        <w:tc>
          <w:tcPr>
            <w:tcW w:w="2915" w:type="dxa"/>
            <w:vMerge w:val="continue"/>
            <w:tcBorders>
              <w:left w:val="single" w:color="auto" w:sz="4" w:space="0"/>
              <w:right w:val="single" w:color="auto" w:sz="4" w:space="0"/>
            </w:tcBorders>
            <w:noWrap/>
            <w:vAlign w:val="center"/>
          </w:tcPr>
          <w:p w14:paraId="099186EF">
            <w:pPr>
              <w:spacing w:line="240" w:lineRule="exact"/>
              <w:rPr>
                <w:rFonts w:ascii="仿宋" w:hAnsi="仿宋" w:eastAsia="仿宋"/>
                <w:szCs w:val="21"/>
              </w:rPr>
            </w:pPr>
          </w:p>
        </w:tc>
      </w:tr>
      <w:tr w14:paraId="474AD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274" w:type="dxa"/>
            <w:tcBorders>
              <w:top w:val="single" w:color="auto" w:sz="4" w:space="0"/>
              <w:left w:val="single" w:color="auto" w:sz="4" w:space="0"/>
              <w:bottom w:val="single" w:color="auto" w:sz="4" w:space="0"/>
              <w:right w:val="single" w:color="auto" w:sz="4" w:space="0"/>
            </w:tcBorders>
            <w:noWrap/>
            <w:vAlign w:val="center"/>
          </w:tcPr>
          <w:p w14:paraId="7407AE95">
            <w:pPr>
              <w:spacing w:line="240" w:lineRule="exact"/>
              <w:rPr>
                <w:rFonts w:ascii="仿宋" w:hAnsi="仿宋" w:eastAsia="仿宋" w:cs="仿宋_GB2312"/>
                <w:szCs w:val="21"/>
              </w:rPr>
            </w:pPr>
            <w:r>
              <w:rPr>
                <w:rFonts w:hint="eastAsia" w:ascii="仿宋" w:hAnsi="仿宋" w:eastAsia="仿宋" w:cs="仿宋_GB2312"/>
                <w:szCs w:val="21"/>
              </w:rPr>
              <w:t>7.其他支出</w:t>
            </w:r>
          </w:p>
        </w:tc>
        <w:tc>
          <w:tcPr>
            <w:tcW w:w="2915" w:type="dxa"/>
            <w:vMerge w:val="continue"/>
            <w:tcBorders>
              <w:left w:val="single" w:color="auto" w:sz="4" w:space="0"/>
              <w:bottom w:val="single" w:color="auto" w:sz="4" w:space="0"/>
              <w:right w:val="single" w:color="auto" w:sz="4" w:space="0"/>
            </w:tcBorders>
            <w:noWrap/>
            <w:vAlign w:val="center"/>
          </w:tcPr>
          <w:p w14:paraId="0F43CF94">
            <w:pPr>
              <w:spacing w:line="240" w:lineRule="exact"/>
              <w:rPr>
                <w:rFonts w:ascii="仿宋" w:hAnsi="仿宋" w:eastAsia="仿宋"/>
                <w:szCs w:val="21"/>
              </w:rPr>
            </w:pPr>
          </w:p>
        </w:tc>
      </w:tr>
      <w:tr w14:paraId="09BCA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274" w:type="dxa"/>
            <w:tcBorders>
              <w:top w:val="single" w:color="auto" w:sz="4" w:space="0"/>
              <w:left w:val="single" w:color="auto" w:sz="4" w:space="0"/>
              <w:bottom w:val="single" w:color="auto" w:sz="4" w:space="0"/>
              <w:right w:val="single" w:color="auto" w:sz="4" w:space="0"/>
            </w:tcBorders>
            <w:noWrap/>
            <w:vAlign w:val="center"/>
          </w:tcPr>
          <w:p w14:paraId="39C2BD12">
            <w:pPr>
              <w:spacing w:line="240" w:lineRule="exact"/>
              <w:rPr>
                <w:rFonts w:ascii="仿宋" w:hAnsi="仿宋" w:eastAsia="仿宋" w:cs="仿宋_GB2312"/>
                <w:szCs w:val="21"/>
              </w:rPr>
            </w:pPr>
            <w:r>
              <w:rPr>
                <w:rFonts w:hint="eastAsia" w:ascii="仿宋" w:hAnsi="仿宋" w:eastAsia="仿宋" w:cs="仿宋_GB2312"/>
                <w:szCs w:val="21"/>
              </w:rPr>
              <w:t>8.劳务费</w:t>
            </w:r>
          </w:p>
        </w:tc>
        <w:tc>
          <w:tcPr>
            <w:tcW w:w="2915" w:type="dxa"/>
            <w:vMerge w:val="restart"/>
            <w:tcBorders>
              <w:top w:val="single" w:color="auto" w:sz="4" w:space="0"/>
              <w:left w:val="single" w:color="auto" w:sz="4" w:space="0"/>
              <w:right w:val="single" w:color="auto" w:sz="4" w:space="0"/>
            </w:tcBorders>
            <w:noWrap/>
            <w:vAlign w:val="center"/>
          </w:tcPr>
          <w:p w14:paraId="0BF1E9E1">
            <w:pPr>
              <w:spacing w:line="240" w:lineRule="exact"/>
              <w:rPr>
                <w:rFonts w:ascii="仿宋" w:hAnsi="仿宋" w:eastAsia="仿宋"/>
                <w:szCs w:val="21"/>
              </w:rPr>
            </w:pPr>
            <w:r>
              <w:rPr>
                <w:rFonts w:hint="eastAsia" w:ascii="仿宋" w:hAnsi="仿宋" w:eastAsia="仿宋"/>
                <w:szCs w:val="21"/>
              </w:rPr>
              <w:t>3.劳务费</w:t>
            </w:r>
          </w:p>
        </w:tc>
      </w:tr>
      <w:tr w14:paraId="5B4D2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274" w:type="dxa"/>
            <w:tcBorders>
              <w:top w:val="single" w:color="auto" w:sz="4" w:space="0"/>
              <w:left w:val="single" w:color="auto" w:sz="4" w:space="0"/>
              <w:bottom w:val="single" w:color="auto" w:sz="4" w:space="0"/>
              <w:right w:val="single" w:color="auto" w:sz="4" w:space="0"/>
            </w:tcBorders>
            <w:noWrap/>
            <w:vAlign w:val="center"/>
          </w:tcPr>
          <w:p w14:paraId="2C4E01C6">
            <w:pPr>
              <w:spacing w:line="240" w:lineRule="exact"/>
              <w:rPr>
                <w:rFonts w:ascii="仿宋" w:hAnsi="仿宋" w:eastAsia="仿宋" w:cs="仿宋_GB2312"/>
                <w:szCs w:val="21"/>
              </w:rPr>
            </w:pPr>
            <w:r>
              <w:rPr>
                <w:rFonts w:hint="eastAsia" w:ascii="仿宋" w:hAnsi="仿宋" w:eastAsia="仿宋" w:cs="仿宋_GB2312"/>
                <w:szCs w:val="21"/>
              </w:rPr>
              <w:t>9.专家咨询费</w:t>
            </w:r>
          </w:p>
        </w:tc>
        <w:tc>
          <w:tcPr>
            <w:tcW w:w="2915" w:type="dxa"/>
            <w:vMerge w:val="continue"/>
            <w:tcBorders>
              <w:left w:val="single" w:color="auto" w:sz="4" w:space="0"/>
              <w:bottom w:val="single" w:color="auto" w:sz="4" w:space="0"/>
              <w:right w:val="single" w:color="auto" w:sz="4" w:space="0"/>
            </w:tcBorders>
            <w:noWrap/>
            <w:vAlign w:val="center"/>
          </w:tcPr>
          <w:p w14:paraId="6DC547A6">
            <w:pPr>
              <w:spacing w:line="240" w:lineRule="exact"/>
              <w:rPr>
                <w:rFonts w:ascii="仿宋" w:hAnsi="仿宋" w:eastAsia="仿宋"/>
                <w:szCs w:val="21"/>
              </w:rPr>
            </w:pPr>
          </w:p>
        </w:tc>
      </w:tr>
    </w:tbl>
    <w:p w14:paraId="6FD77CE8">
      <w:pPr>
        <w:pStyle w:val="6"/>
        <w:spacing w:line="560" w:lineRule="exact"/>
        <w:ind w:left="0" w:firstLine="562" w:firstLineChars="200"/>
        <w:rPr>
          <w:rFonts w:ascii="黑体" w:hAnsi="黑体" w:eastAsia="黑体"/>
          <w:b/>
          <w:color w:val="000000"/>
          <w:sz w:val="28"/>
          <w:szCs w:val="28"/>
        </w:rPr>
      </w:pPr>
      <w:r>
        <w:rPr>
          <w:rFonts w:hint="eastAsia" w:ascii="黑体" w:hAnsi="黑体" w:eastAsia="黑体"/>
          <w:b/>
          <w:color w:val="000000"/>
          <w:sz w:val="28"/>
          <w:szCs w:val="28"/>
        </w:rPr>
        <w:t>四、编制的规范性要求</w:t>
      </w:r>
    </w:p>
    <w:p w14:paraId="4BB36C9F">
      <w:pPr>
        <w:spacing w:line="560" w:lineRule="exact"/>
        <w:ind w:left="8" w:leftChars="4" w:firstLine="560" w:firstLineChars="200"/>
        <w:rPr>
          <w:rFonts w:ascii="仿宋_GB2312" w:hAnsi="仿宋" w:eastAsia="仿宋_GB2312"/>
          <w:sz w:val="28"/>
          <w:szCs w:val="28"/>
        </w:rPr>
      </w:pPr>
      <w:r>
        <w:rPr>
          <w:rFonts w:hint="eastAsia" w:ascii="仿宋_GB2312" w:hAnsi="仿宋" w:eastAsia="仿宋_GB2312"/>
          <w:sz w:val="28"/>
          <w:szCs w:val="28"/>
        </w:rPr>
        <w:t>决算数据以“万元”为单位，四舍五入精确到小数点后面四位。各类标准或单价以“元”为单位，四舍五入精确到个位。外币需按人民银行公布的即期汇率折合成人民币。</w:t>
      </w:r>
    </w:p>
    <w:p w14:paraId="6406F9AE">
      <w:pPr>
        <w:spacing w:line="560" w:lineRule="exact"/>
        <w:ind w:left="8" w:leftChars="4" w:firstLine="560" w:firstLineChars="200"/>
        <w:rPr>
          <w:rFonts w:ascii="仿宋_GB2312" w:hAnsi="仿宋" w:eastAsia="仿宋_GB2312"/>
          <w:sz w:val="28"/>
          <w:szCs w:val="28"/>
        </w:rPr>
      </w:pPr>
    </w:p>
    <w:p w14:paraId="61E2A678">
      <w:pPr>
        <w:spacing w:line="560" w:lineRule="exact"/>
        <w:ind w:firstLine="522" w:firstLineChars="200"/>
        <w:rPr>
          <w:rFonts w:ascii="仿宋_GB2312" w:hAnsi="仿宋" w:eastAsia="仿宋_GB2312"/>
          <w:b/>
          <w:spacing w:val="-10"/>
          <w:sz w:val="28"/>
          <w:szCs w:val="28"/>
        </w:rPr>
      </w:pPr>
      <w:r>
        <w:rPr>
          <w:rFonts w:hint="eastAsia" w:ascii="仿宋_GB2312" w:hAnsi="仿宋" w:eastAsia="仿宋_GB2312"/>
          <w:b/>
          <w:spacing w:val="-10"/>
          <w:sz w:val="28"/>
          <w:szCs w:val="28"/>
        </w:rPr>
        <w:t>咨询电话：财务局经费管理处010-62325245/7225/8383</w:t>
      </w:r>
    </w:p>
    <w:p w14:paraId="58CD182D">
      <w:pPr>
        <w:spacing w:line="560" w:lineRule="exact"/>
        <w:ind w:firstLine="522" w:firstLineChars="200"/>
        <w:rPr>
          <w:rFonts w:ascii="仿宋_GB2312" w:hAnsi="仿宋" w:eastAsia="仿宋_GB2312"/>
          <w:b/>
          <w:spacing w:val="-10"/>
          <w:sz w:val="28"/>
          <w:szCs w:val="28"/>
        </w:rPr>
      </w:pPr>
    </w:p>
    <w:p w14:paraId="2D723F3D">
      <w:pPr>
        <w:spacing w:line="560" w:lineRule="exact"/>
        <w:ind w:left="8" w:leftChars="4" w:firstLine="560" w:firstLineChars="200"/>
        <w:rPr>
          <w:rFonts w:ascii="仿宋_GB2312" w:hAnsi="仿宋" w:eastAsia="仿宋_GB2312"/>
          <w:sz w:val="28"/>
          <w:szCs w:val="28"/>
        </w:rPr>
      </w:pPr>
      <w:r>
        <w:rPr>
          <w:rFonts w:hint="eastAsia" w:ascii="仿宋_GB2312" w:hAnsi="仿宋" w:eastAsia="仿宋_GB2312"/>
          <w:sz w:val="28"/>
          <w:szCs w:val="28"/>
        </w:rPr>
        <w:t>附件：1.《国家自然科学基金预算制项目决算表》</w:t>
      </w:r>
    </w:p>
    <w:p w14:paraId="62BB07C4">
      <w:pPr>
        <w:spacing w:line="560" w:lineRule="exact"/>
        <w:ind w:left="8" w:leftChars="4" w:firstLine="1400" w:firstLineChars="500"/>
        <w:rPr>
          <w:rFonts w:ascii="仿宋_GB2312" w:eastAsia="仿宋_GB2312"/>
          <w:sz w:val="28"/>
          <w:szCs w:val="28"/>
        </w:rPr>
        <w:sectPr>
          <w:footerReference r:id="rId3" w:type="default"/>
          <w:footerReference r:id="rId4" w:type="even"/>
          <w:pgSz w:w="11906" w:h="16838"/>
          <w:pgMar w:top="1440" w:right="1800" w:bottom="1440" w:left="1800" w:header="851" w:footer="992" w:gutter="0"/>
          <w:cols w:space="720" w:num="1"/>
          <w:docGrid w:type="lines" w:linePitch="312" w:charSpace="0"/>
        </w:sectPr>
      </w:pPr>
      <w:r>
        <w:rPr>
          <w:rFonts w:hint="eastAsia" w:ascii="仿宋_GB2312" w:hAnsi="仿宋" w:eastAsia="仿宋_GB2312"/>
          <w:sz w:val="28"/>
          <w:szCs w:val="28"/>
        </w:rPr>
        <w:t>2.《决算说明书》</w:t>
      </w:r>
    </w:p>
    <w:p w14:paraId="25A45631">
      <w:pPr>
        <w:autoSpaceDE w:val="0"/>
        <w:autoSpaceDN w:val="0"/>
        <w:ind w:left="608" w:hanging="608"/>
        <w:jc w:val="left"/>
        <w:rPr>
          <w:rFonts w:ascii="黑体" w:eastAsia="黑体"/>
          <w:sz w:val="28"/>
          <w:szCs w:val="28"/>
        </w:rPr>
      </w:pPr>
      <w:r>
        <w:rPr>
          <w:rFonts w:hint="eastAsia" w:ascii="黑体" w:eastAsia="黑体"/>
          <w:sz w:val="28"/>
          <w:szCs w:val="28"/>
        </w:rPr>
        <w:t>附件</w:t>
      </w:r>
    </w:p>
    <w:p w14:paraId="391A4E74">
      <w:pPr>
        <w:autoSpaceDE w:val="0"/>
        <w:autoSpaceDN w:val="0"/>
        <w:spacing w:line="360" w:lineRule="auto"/>
        <w:jc w:val="center"/>
        <w:rPr>
          <w:rFonts w:eastAsia="黑体"/>
          <w:b/>
          <w:sz w:val="28"/>
          <w:szCs w:val="28"/>
        </w:rPr>
      </w:pPr>
      <w:r>
        <w:rPr>
          <w:rFonts w:hint="eastAsia" w:eastAsia="黑体"/>
          <w:b/>
          <w:sz w:val="28"/>
          <w:szCs w:val="28"/>
        </w:rPr>
        <w:t>国家自然科学基金预算制项目决算表</w:t>
      </w:r>
    </w:p>
    <w:p w14:paraId="33D87370">
      <w:pPr>
        <w:autoSpaceDE w:val="0"/>
        <w:autoSpaceDN w:val="0"/>
        <w:adjustRightInd w:val="0"/>
        <w:snapToGrid w:val="0"/>
        <w:spacing w:line="300" w:lineRule="auto"/>
        <w:ind w:left="-283" w:leftChars="-135" w:right="-288" w:rightChars="-137" w:firstLine="200" w:firstLineChars="100"/>
        <w:rPr>
          <w:sz w:val="20"/>
          <w:szCs w:val="20"/>
        </w:rPr>
      </w:pPr>
      <w:r>
        <w:rPr>
          <w:rFonts w:hint="eastAsia"/>
          <w:sz w:val="20"/>
          <w:szCs w:val="20"/>
        </w:rPr>
        <w:t>项目批准号：                                                     项目负责人：金额单位：万元</w:t>
      </w:r>
    </w:p>
    <w:tbl>
      <w:tblPr>
        <w:tblStyle w:val="7"/>
        <w:tblW w:w="14018"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30" w:type="dxa"/>
          <w:bottom w:w="0" w:type="dxa"/>
          <w:right w:w="30" w:type="dxa"/>
        </w:tblCellMar>
      </w:tblPr>
      <w:tblGrid>
        <w:gridCol w:w="825"/>
        <w:gridCol w:w="2851"/>
        <w:gridCol w:w="2164"/>
        <w:gridCol w:w="1982"/>
        <w:gridCol w:w="1789"/>
        <w:gridCol w:w="1490"/>
        <w:gridCol w:w="1811"/>
        <w:gridCol w:w="1106"/>
      </w:tblGrid>
      <w:tr w14:paraId="07434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340" w:hRule="atLeast"/>
          <w:jc w:val="center"/>
        </w:trPr>
        <w:tc>
          <w:tcPr>
            <w:tcW w:w="825" w:type="dxa"/>
            <w:vMerge w:val="restart"/>
            <w:tcBorders>
              <w:top w:val="single" w:color="auto" w:sz="6" w:space="0"/>
              <w:left w:val="single" w:color="auto" w:sz="6" w:space="0"/>
              <w:right w:val="single" w:color="auto" w:sz="6" w:space="0"/>
            </w:tcBorders>
            <w:noWrap/>
            <w:vAlign w:val="center"/>
          </w:tcPr>
          <w:p w14:paraId="535E7598">
            <w:pPr>
              <w:autoSpaceDE w:val="0"/>
              <w:autoSpaceDN w:val="0"/>
              <w:ind w:left="608" w:hanging="608"/>
              <w:jc w:val="center"/>
              <w:rPr>
                <w:b/>
                <w:bCs/>
                <w:sz w:val="20"/>
                <w:szCs w:val="20"/>
              </w:rPr>
            </w:pPr>
            <w:r>
              <w:rPr>
                <w:rFonts w:hint="eastAsia"/>
                <w:b/>
                <w:bCs/>
                <w:sz w:val="20"/>
                <w:szCs w:val="20"/>
              </w:rPr>
              <w:t>行次</w:t>
            </w:r>
          </w:p>
        </w:tc>
        <w:tc>
          <w:tcPr>
            <w:tcW w:w="2851" w:type="dxa"/>
            <w:vMerge w:val="restart"/>
            <w:tcBorders>
              <w:top w:val="single" w:color="auto" w:sz="6" w:space="0"/>
              <w:left w:val="single" w:color="auto" w:sz="6" w:space="0"/>
              <w:right w:val="single" w:color="auto" w:sz="6" w:space="0"/>
            </w:tcBorders>
            <w:noWrap/>
            <w:vAlign w:val="center"/>
          </w:tcPr>
          <w:p w14:paraId="5F52675F">
            <w:pPr>
              <w:autoSpaceDE w:val="0"/>
              <w:autoSpaceDN w:val="0"/>
              <w:jc w:val="center"/>
              <w:rPr>
                <w:b/>
                <w:bCs/>
                <w:sz w:val="20"/>
                <w:szCs w:val="20"/>
              </w:rPr>
            </w:pPr>
            <w:r>
              <w:rPr>
                <w:rFonts w:hint="eastAsia"/>
                <w:b/>
                <w:bCs/>
                <w:sz w:val="20"/>
                <w:szCs w:val="20"/>
              </w:rPr>
              <w:t>科目名称</w:t>
            </w:r>
          </w:p>
        </w:tc>
        <w:tc>
          <w:tcPr>
            <w:tcW w:w="5935" w:type="dxa"/>
            <w:gridSpan w:val="3"/>
            <w:tcBorders>
              <w:top w:val="single" w:color="auto" w:sz="6" w:space="0"/>
              <w:left w:val="single" w:color="auto" w:sz="6" w:space="0"/>
              <w:bottom w:val="single" w:color="auto" w:sz="6" w:space="0"/>
              <w:right w:val="single" w:color="auto" w:sz="6" w:space="0"/>
            </w:tcBorders>
            <w:noWrap/>
            <w:vAlign w:val="center"/>
          </w:tcPr>
          <w:p w14:paraId="501DD52B">
            <w:pPr>
              <w:autoSpaceDE w:val="0"/>
              <w:autoSpaceDN w:val="0"/>
              <w:jc w:val="center"/>
              <w:rPr>
                <w:b/>
                <w:bCs/>
                <w:sz w:val="20"/>
                <w:szCs w:val="20"/>
              </w:rPr>
            </w:pPr>
            <w:r>
              <w:rPr>
                <w:rFonts w:hint="eastAsia"/>
                <w:b/>
                <w:bCs/>
                <w:sz w:val="20"/>
                <w:szCs w:val="20"/>
              </w:rPr>
              <w:t>预算数</w:t>
            </w:r>
          </w:p>
        </w:tc>
        <w:tc>
          <w:tcPr>
            <w:tcW w:w="1490" w:type="dxa"/>
            <w:vMerge w:val="restart"/>
            <w:tcBorders>
              <w:top w:val="single" w:color="auto" w:sz="6" w:space="0"/>
              <w:left w:val="single" w:color="auto" w:sz="6" w:space="0"/>
              <w:right w:val="single" w:color="auto" w:sz="6" w:space="0"/>
            </w:tcBorders>
            <w:noWrap/>
            <w:vAlign w:val="center"/>
          </w:tcPr>
          <w:p w14:paraId="51D66E6E">
            <w:pPr>
              <w:autoSpaceDE w:val="0"/>
              <w:autoSpaceDN w:val="0"/>
              <w:jc w:val="center"/>
              <w:rPr>
                <w:b/>
                <w:bCs/>
                <w:sz w:val="20"/>
                <w:szCs w:val="20"/>
              </w:rPr>
            </w:pPr>
            <w:r>
              <w:rPr>
                <w:rFonts w:hint="eastAsia"/>
                <w:b/>
                <w:bCs/>
                <w:sz w:val="20"/>
                <w:szCs w:val="20"/>
              </w:rPr>
              <w:t>累计支出数</w:t>
            </w:r>
          </w:p>
        </w:tc>
        <w:tc>
          <w:tcPr>
            <w:tcW w:w="1811" w:type="dxa"/>
            <w:vMerge w:val="restart"/>
            <w:tcBorders>
              <w:top w:val="single" w:color="auto" w:sz="6" w:space="0"/>
              <w:left w:val="single" w:color="auto" w:sz="6" w:space="0"/>
              <w:right w:val="single" w:color="auto" w:sz="6" w:space="0"/>
            </w:tcBorders>
            <w:noWrap/>
            <w:vAlign w:val="center"/>
          </w:tcPr>
          <w:p w14:paraId="386E58CA">
            <w:pPr>
              <w:autoSpaceDE w:val="0"/>
              <w:autoSpaceDN w:val="0"/>
              <w:jc w:val="center"/>
              <w:rPr>
                <w:b/>
                <w:bCs/>
                <w:sz w:val="20"/>
                <w:szCs w:val="20"/>
              </w:rPr>
            </w:pPr>
            <w:r>
              <w:rPr>
                <w:rFonts w:hint="eastAsia"/>
                <w:b/>
                <w:bCs/>
                <w:sz w:val="20"/>
                <w:szCs w:val="20"/>
              </w:rPr>
              <w:t>结余数</w:t>
            </w:r>
          </w:p>
        </w:tc>
        <w:tc>
          <w:tcPr>
            <w:tcW w:w="1106" w:type="dxa"/>
            <w:vMerge w:val="restart"/>
            <w:tcBorders>
              <w:top w:val="single" w:color="auto" w:sz="6" w:space="0"/>
              <w:left w:val="single" w:color="auto" w:sz="6" w:space="0"/>
              <w:right w:val="single" w:color="auto" w:sz="6" w:space="0"/>
            </w:tcBorders>
            <w:noWrap/>
            <w:vAlign w:val="center"/>
          </w:tcPr>
          <w:p w14:paraId="06AFD1B8">
            <w:pPr>
              <w:autoSpaceDE w:val="0"/>
              <w:autoSpaceDN w:val="0"/>
              <w:jc w:val="center"/>
              <w:rPr>
                <w:b/>
                <w:bCs/>
                <w:sz w:val="20"/>
                <w:szCs w:val="20"/>
              </w:rPr>
            </w:pPr>
            <w:r>
              <w:rPr>
                <w:rFonts w:hint="eastAsia"/>
                <w:b/>
                <w:bCs/>
                <w:sz w:val="20"/>
                <w:szCs w:val="20"/>
              </w:rPr>
              <w:t>结余资金</w:t>
            </w:r>
          </w:p>
          <w:p w14:paraId="089DBA7B">
            <w:pPr>
              <w:autoSpaceDE w:val="0"/>
              <w:autoSpaceDN w:val="0"/>
              <w:jc w:val="center"/>
              <w:rPr>
                <w:b/>
                <w:bCs/>
                <w:sz w:val="20"/>
                <w:szCs w:val="20"/>
              </w:rPr>
            </w:pPr>
            <w:r>
              <w:rPr>
                <w:rFonts w:hint="eastAsia"/>
                <w:b/>
                <w:bCs/>
                <w:sz w:val="20"/>
                <w:szCs w:val="20"/>
              </w:rPr>
              <w:t>比例</w:t>
            </w:r>
          </w:p>
        </w:tc>
      </w:tr>
      <w:tr w14:paraId="5FD53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340" w:hRule="atLeast"/>
          <w:jc w:val="center"/>
        </w:trPr>
        <w:tc>
          <w:tcPr>
            <w:tcW w:w="825" w:type="dxa"/>
            <w:vMerge w:val="continue"/>
            <w:tcBorders>
              <w:left w:val="single" w:color="auto" w:sz="6" w:space="0"/>
              <w:right w:val="single" w:color="auto" w:sz="6" w:space="0"/>
            </w:tcBorders>
            <w:noWrap/>
            <w:vAlign w:val="center"/>
          </w:tcPr>
          <w:p w14:paraId="65EFC77E">
            <w:pPr>
              <w:autoSpaceDE w:val="0"/>
              <w:autoSpaceDN w:val="0"/>
              <w:ind w:left="608" w:hanging="608"/>
              <w:jc w:val="center"/>
              <w:rPr>
                <w:b/>
                <w:bCs/>
                <w:sz w:val="20"/>
                <w:szCs w:val="20"/>
              </w:rPr>
            </w:pPr>
          </w:p>
        </w:tc>
        <w:tc>
          <w:tcPr>
            <w:tcW w:w="2851" w:type="dxa"/>
            <w:vMerge w:val="continue"/>
            <w:tcBorders>
              <w:left w:val="single" w:color="auto" w:sz="6" w:space="0"/>
              <w:right w:val="single" w:color="auto" w:sz="6" w:space="0"/>
            </w:tcBorders>
            <w:noWrap/>
            <w:vAlign w:val="center"/>
          </w:tcPr>
          <w:p w14:paraId="60527DE1">
            <w:pPr>
              <w:autoSpaceDE w:val="0"/>
              <w:autoSpaceDN w:val="0"/>
              <w:jc w:val="center"/>
              <w:rPr>
                <w:b/>
                <w:bCs/>
                <w:sz w:val="20"/>
                <w:szCs w:val="20"/>
              </w:rPr>
            </w:pPr>
          </w:p>
        </w:tc>
        <w:tc>
          <w:tcPr>
            <w:tcW w:w="2164" w:type="dxa"/>
            <w:tcBorders>
              <w:top w:val="single" w:color="auto" w:sz="6" w:space="0"/>
              <w:left w:val="single" w:color="auto" w:sz="6" w:space="0"/>
              <w:bottom w:val="single" w:color="auto" w:sz="6" w:space="0"/>
              <w:right w:val="single" w:color="auto" w:sz="6" w:space="0"/>
            </w:tcBorders>
            <w:noWrap/>
            <w:vAlign w:val="center"/>
          </w:tcPr>
          <w:p w14:paraId="28F3BDA6">
            <w:pPr>
              <w:autoSpaceDE w:val="0"/>
              <w:autoSpaceDN w:val="0"/>
              <w:jc w:val="center"/>
              <w:rPr>
                <w:b/>
                <w:bCs/>
                <w:sz w:val="20"/>
                <w:szCs w:val="20"/>
              </w:rPr>
            </w:pPr>
            <w:r>
              <w:rPr>
                <w:rFonts w:hint="eastAsia"/>
                <w:b/>
                <w:bCs/>
                <w:sz w:val="20"/>
                <w:szCs w:val="20"/>
              </w:rPr>
              <w:t>批准预算</w:t>
            </w:r>
          </w:p>
        </w:tc>
        <w:tc>
          <w:tcPr>
            <w:tcW w:w="1982" w:type="dxa"/>
            <w:tcBorders>
              <w:top w:val="single" w:color="auto" w:sz="6" w:space="0"/>
              <w:left w:val="single" w:color="auto" w:sz="6" w:space="0"/>
              <w:bottom w:val="single" w:color="auto" w:sz="6" w:space="0"/>
              <w:right w:val="single" w:color="auto" w:sz="6" w:space="0"/>
            </w:tcBorders>
            <w:noWrap/>
          </w:tcPr>
          <w:p w14:paraId="21BC7D08">
            <w:pPr>
              <w:autoSpaceDE w:val="0"/>
              <w:autoSpaceDN w:val="0"/>
              <w:jc w:val="center"/>
              <w:rPr>
                <w:b/>
                <w:bCs/>
                <w:sz w:val="20"/>
                <w:szCs w:val="20"/>
              </w:rPr>
            </w:pPr>
            <w:r>
              <w:rPr>
                <w:rFonts w:hint="eastAsia"/>
                <w:b/>
                <w:bCs/>
                <w:sz w:val="20"/>
                <w:szCs w:val="20"/>
              </w:rPr>
              <w:t>预算调整</w:t>
            </w:r>
          </w:p>
        </w:tc>
        <w:tc>
          <w:tcPr>
            <w:tcW w:w="1789" w:type="dxa"/>
            <w:tcBorders>
              <w:top w:val="single" w:color="auto" w:sz="6" w:space="0"/>
              <w:left w:val="single" w:color="auto" w:sz="6" w:space="0"/>
              <w:bottom w:val="single" w:color="auto" w:sz="6" w:space="0"/>
              <w:right w:val="single" w:color="auto" w:sz="6" w:space="0"/>
            </w:tcBorders>
            <w:noWrap/>
          </w:tcPr>
          <w:p w14:paraId="464A2A5C">
            <w:pPr>
              <w:autoSpaceDE w:val="0"/>
              <w:autoSpaceDN w:val="0"/>
              <w:jc w:val="center"/>
              <w:rPr>
                <w:b/>
                <w:bCs/>
                <w:sz w:val="20"/>
                <w:szCs w:val="20"/>
              </w:rPr>
            </w:pPr>
            <w:r>
              <w:rPr>
                <w:rFonts w:hint="eastAsia"/>
                <w:b/>
                <w:bCs/>
                <w:sz w:val="20"/>
                <w:szCs w:val="20"/>
              </w:rPr>
              <w:t>调整后预算</w:t>
            </w:r>
          </w:p>
        </w:tc>
        <w:tc>
          <w:tcPr>
            <w:tcW w:w="1490" w:type="dxa"/>
            <w:vMerge w:val="continue"/>
            <w:tcBorders>
              <w:left w:val="single" w:color="auto" w:sz="6" w:space="0"/>
              <w:bottom w:val="single" w:color="auto" w:sz="6" w:space="0"/>
              <w:right w:val="single" w:color="auto" w:sz="6" w:space="0"/>
            </w:tcBorders>
            <w:noWrap/>
            <w:vAlign w:val="center"/>
          </w:tcPr>
          <w:p w14:paraId="529BD5FB">
            <w:pPr>
              <w:autoSpaceDE w:val="0"/>
              <w:autoSpaceDN w:val="0"/>
              <w:jc w:val="center"/>
              <w:rPr>
                <w:b/>
                <w:bCs/>
                <w:sz w:val="20"/>
                <w:szCs w:val="20"/>
              </w:rPr>
            </w:pPr>
          </w:p>
        </w:tc>
        <w:tc>
          <w:tcPr>
            <w:tcW w:w="1811" w:type="dxa"/>
            <w:vMerge w:val="continue"/>
            <w:tcBorders>
              <w:left w:val="single" w:color="auto" w:sz="6" w:space="0"/>
              <w:bottom w:val="single" w:color="auto" w:sz="6" w:space="0"/>
              <w:right w:val="single" w:color="auto" w:sz="6" w:space="0"/>
            </w:tcBorders>
            <w:noWrap/>
            <w:vAlign w:val="center"/>
          </w:tcPr>
          <w:p w14:paraId="4F7BC034">
            <w:pPr>
              <w:autoSpaceDE w:val="0"/>
              <w:autoSpaceDN w:val="0"/>
              <w:jc w:val="center"/>
              <w:rPr>
                <w:b/>
                <w:bCs/>
                <w:sz w:val="20"/>
                <w:szCs w:val="20"/>
              </w:rPr>
            </w:pPr>
          </w:p>
        </w:tc>
        <w:tc>
          <w:tcPr>
            <w:tcW w:w="1106" w:type="dxa"/>
            <w:vMerge w:val="continue"/>
            <w:tcBorders>
              <w:left w:val="single" w:color="auto" w:sz="6" w:space="0"/>
              <w:bottom w:val="single" w:color="auto" w:sz="6" w:space="0"/>
              <w:right w:val="single" w:color="auto" w:sz="6" w:space="0"/>
            </w:tcBorders>
            <w:noWrap/>
          </w:tcPr>
          <w:p w14:paraId="6995B70C">
            <w:pPr>
              <w:autoSpaceDE w:val="0"/>
              <w:autoSpaceDN w:val="0"/>
              <w:jc w:val="center"/>
              <w:rPr>
                <w:b/>
                <w:bCs/>
                <w:sz w:val="20"/>
                <w:szCs w:val="20"/>
              </w:rPr>
            </w:pPr>
          </w:p>
        </w:tc>
      </w:tr>
      <w:tr w14:paraId="413E2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340" w:hRule="atLeast"/>
          <w:jc w:val="center"/>
        </w:trPr>
        <w:tc>
          <w:tcPr>
            <w:tcW w:w="825" w:type="dxa"/>
            <w:vMerge w:val="continue"/>
            <w:tcBorders>
              <w:left w:val="single" w:color="auto" w:sz="6" w:space="0"/>
              <w:bottom w:val="single" w:color="auto" w:sz="6" w:space="0"/>
              <w:right w:val="single" w:color="auto" w:sz="6" w:space="0"/>
            </w:tcBorders>
            <w:noWrap/>
            <w:vAlign w:val="center"/>
          </w:tcPr>
          <w:p w14:paraId="7DCC8726">
            <w:pPr>
              <w:autoSpaceDE w:val="0"/>
              <w:autoSpaceDN w:val="0"/>
              <w:ind w:left="608" w:hanging="608"/>
              <w:jc w:val="center"/>
              <w:rPr>
                <w:b/>
                <w:bCs/>
                <w:sz w:val="20"/>
                <w:szCs w:val="20"/>
              </w:rPr>
            </w:pPr>
          </w:p>
        </w:tc>
        <w:tc>
          <w:tcPr>
            <w:tcW w:w="2851" w:type="dxa"/>
            <w:vMerge w:val="continue"/>
            <w:tcBorders>
              <w:left w:val="single" w:color="auto" w:sz="6" w:space="0"/>
              <w:bottom w:val="single" w:color="auto" w:sz="6" w:space="0"/>
              <w:right w:val="single" w:color="auto" w:sz="6" w:space="0"/>
            </w:tcBorders>
            <w:noWrap/>
            <w:vAlign w:val="center"/>
          </w:tcPr>
          <w:p w14:paraId="23D55D18">
            <w:pPr>
              <w:autoSpaceDE w:val="0"/>
              <w:autoSpaceDN w:val="0"/>
              <w:jc w:val="center"/>
              <w:rPr>
                <w:sz w:val="20"/>
                <w:szCs w:val="20"/>
              </w:rPr>
            </w:pPr>
          </w:p>
        </w:tc>
        <w:tc>
          <w:tcPr>
            <w:tcW w:w="2164" w:type="dxa"/>
            <w:tcBorders>
              <w:top w:val="single" w:color="auto" w:sz="6" w:space="0"/>
              <w:left w:val="single" w:color="auto" w:sz="6" w:space="0"/>
              <w:bottom w:val="single" w:color="auto" w:sz="6" w:space="0"/>
              <w:right w:val="single" w:color="auto" w:sz="6" w:space="0"/>
            </w:tcBorders>
            <w:noWrap/>
          </w:tcPr>
          <w:p w14:paraId="47716692">
            <w:pPr>
              <w:autoSpaceDE w:val="0"/>
              <w:autoSpaceDN w:val="0"/>
              <w:jc w:val="center"/>
              <w:rPr>
                <w:b/>
                <w:bCs/>
                <w:sz w:val="20"/>
                <w:szCs w:val="20"/>
              </w:rPr>
            </w:pPr>
            <w:r>
              <w:rPr>
                <w:rFonts w:hint="eastAsia"/>
                <w:b/>
                <w:bCs/>
                <w:sz w:val="20"/>
                <w:szCs w:val="20"/>
              </w:rPr>
              <w:t>（1）</w:t>
            </w:r>
          </w:p>
        </w:tc>
        <w:tc>
          <w:tcPr>
            <w:tcW w:w="1982" w:type="dxa"/>
            <w:tcBorders>
              <w:top w:val="single" w:color="auto" w:sz="6" w:space="0"/>
              <w:left w:val="single" w:color="auto" w:sz="6" w:space="0"/>
              <w:bottom w:val="single" w:color="auto" w:sz="6" w:space="0"/>
              <w:right w:val="single" w:color="auto" w:sz="6" w:space="0"/>
            </w:tcBorders>
            <w:noWrap/>
          </w:tcPr>
          <w:p w14:paraId="6E518FCE">
            <w:pPr>
              <w:autoSpaceDE w:val="0"/>
              <w:autoSpaceDN w:val="0"/>
              <w:jc w:val="center"/>
              <w:rPr>
                <w:b/>
                <w:bCs/>
                <w:sz w:val="20"/>
                <w:szCs w:val="20"/>
              </w:rPr>
            </w:pPr>
            <w:r>
              <w:rPr>
                <w:rFonts w:hint="eastAsia"/>
                <w:b/>
                <w:bCs/>
                <w:sz w:val="20"/>
                <w:szCs w:val="20"/>
              </w:rPr>
              <w:t>（2）</w:t>
            </w:r>
          </w:p>
        </w:tc>
        <w:tc>
          <w:tcPr>
            <w:tcW w:w="1789" w:type="dxa"/>
            <w:tcBorders>
              <w:top w:val="single" w:color="auto" w:sz="6" w:space="0"/>
              <w:left w:val="single" w:color="auto" w:sz="6" w:space="0"/>
              <w:bottom w:val="single" w:color="auto" w:sz="6" w:space="0"/>
              <w:right w:val="single" w:color="auto" w:sz="6" w:space="0"/>
            </w:tcBorders>
            <w:noWrap/>
          </w:tcPr>
          <w:p w14:paraId="1CE0775E">
            <w:pPr>
              <w:autoSpaceDE w:val="0"/>
              <w:autoSpaceDN w:val="0"/>
              <w:jc w:val="center"/>
              <w:rPr>
                <w:b/>
                <w:bCs/>
                <w:sz w:val="20"/>
                <w:szCs w:val="20"/>
              </w:rPr>
            </w:pPr>
            <w:r>
              <w:rPr>
                <w:rFonts w:hint="eastAsia"/>
                <w:b/>
                <w:bCs/>
                <w:sz w:val="20"/>
                <w:szCs w:val="20"/>
              </w:rPr>
              <w:t>（3）=（1）+（2）</w:t>
            </w:r>
          </w:p>
        </w:tc>
        <w:tc>
          <w:tcPr>
            <w:tcW w:w="1490" w:type="dxa"/>
            <w:tcBorders>
              <w:top w:val="single" w:color="auto" w:sz="6" w:space="0"/>
              <w:left w:val="single" w:color="auto" w:sz="6" w:space="0"/>
              <w:bottom w:val="single" w:color="auto" w:sz="6" w:space="0"/>
              <w:right w:val="single" w:color="auto" w:sz="6" w:space="0"/>
            </w:tcBorders>
            <w:noWrap/>
          </w:tcPr>
          <w:p w14:paraId="00A0476D">
            <w:pPr>
              <w:autoSpaceDE w:val="0"/>
              <w:autoSpaceDN w:val="0"/>
              <w:jc w:val="center"/>
              <w:rPr>
                <w:b/>
                <w:bCs/>
                <w:sz w:val="20"/>
                <w:szCs w:val="20"/>
              </w:rPr>
            </w:pPr>
            <w:r>
              <w:rPr>
                <w:rFonts w:hint="eastAsia"/>
                <w:b/>
                <w:bCs/>
                <w:sz w:val="20"/>
                <w:szCs w:val="20"/>
              </w:rPr>
              <w:t>（4）</w:t>
            </w:r>
          </w:p>
        </w:tc>
        <w:tc>
          <w:tcPr>
            <w:tcW w:w="1811" w:type="dxa"/>
            <w:tcBorders>
              <w:top w:val="single" w:color="auto" w:sz="6" w:space="0"/>
              <w:left w:val="single" w:color="auto" w:sz="6" w:space="0"/>
              <w:bottom w:val="single" w:color="auto" w:sz="6" w:space="0"/>
              <w:right w:val="single" w:color="auto" w:sz="6" w:space="0"/>
            </w:tcBorders>
            <w:noWrap/>
            <w:vAlign w:val="center"/>
          </w:tcPr>
          <w:p w14:paraId="428BCFBF">
            <w:pPr>
              <w:autoSpaceDE w:val="0"/>
              <w:autoSpaceDN w:val="0"/>
              <w:jc w:val="center"/>
              <w:rPr>
                <w:b/>
                <w:bCs/>
                <w:sz w:val="20"/>
                <w:szCs w:val="20"/>
              </w:rPr>
            </w:pPr>
            <w:r>
              <w:rPr>
                <w:rFonts w:hint="eastAsia"/>
                <w:b/>
                <w:bCs/>
                <w:sz w:val="20"/>
                <w:szCs w:val="20"/>
              </w:rPr>
              <w:t>（5）=（3）-（4）</w:t>
            </w:r>
          </w:p>
        </w:tc>
        <w:tc>
          <w:tcPr>
            <w:tcW w:w="1106" w:type="dxa"/>
            <w:tcBorders>
              <w:top w:val="single" w:color="auto" w:sz="6" w:space="0"/>
              <w:left w:val="single" w:color="auto" w:sz="6" w:space="0"/>
              <w:bottom w:val="single" w:color="auto" w:sz="6" w:space="0"/>
              <w:right w:val="single" w:color="auto" w:sz="6" w:space="0"/>
            </w:tcBorders>
            <w:noWrap/>
          </w:tcPr>
          <w:p w14:paraId="608ABD95">
            <w:pPr>
              <w:autoSpaceDE w:val="0"/>
              <w:autoSpaceDN w:val="0"/>
              <w:jc w:val="center"/>
              <w:rPr>
                <w:b/>
                <w:bCs/>
                <w:sz w:val="20"/>
                <w:szCs w:val="20"/>
              </w:rPr>
            </w:pPr>
            <w:r>
              <w:rPr>
                <w:rFonts w:hint="eastAsia"/>
                <w:b/>
                <w:bCs/>
                <w:sz w:val="20"/>
                <w:szCs w:val="20"/>
              </w:rPr>
              <w:t>（6）</w:t>
            </w:r>
          </w:p>
        </w:tc>
      </w:tr>
      <w:tr w14:paraId="2FA6E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340" w:hRule="atLeast"/>
          <w:jc w:val="center"/>
        </w:trPr>
        <w:tc>
          <w:tcPr>
            <w:tcW w:w="825" w:type="dxa"/>
            <w:tcBorders>
              <w:top w:val="single" w:color="auto" w:sz="6" w:space="0"/>
              <w:left w:val="single" w:color="auto" w:sz="6" w:space="0"/>
              <w:bottom w:val="single" w:color="auto" w:sz="6" w:space="0"/>
              <w:right w:val="single" w:color="auto" w:sz="6" w:space="0"/>
            </w:tcBorders>
            <w:noWrap/>
            <w:vAlign w:val="center"/>
          </w:tcPr>
          <w:p w14:paraId="281A45BA">
            <w:pPr>
              <w:autoSpaceDE w:val="0"/>
              <w:autoSpaceDN w:val="0"/>
              <w:ind w:left="608" w:hanging="608"/>
              <w:jc w:val="center"/>
              <w:rPr>
                <w:sz w:val="20"/>
                <w:szCs w:val="20"/>
              </w:rPr>
            </w:pPr>
            <w:r>
              <w:rPr>
                <w:rFonts w:hint="eastAsia"/>
                <w:sz w:val="20"/>
                <w:szCs w:val="20"/>
              </w:rPr>
              <w:t>（1）</w:t>
            </w:r>
          </w:p>
        </w:tc>
        <w:tc>
          <w:tcPr>
            <w:tcW w:w="2851" w:type="dxa"/>
            <w:tcBorders>
              <w:top w:val="single" w:color="auto" w:sz="6" w:space="0"/>
              <w:left w:val="single" w:color="auto" w:sz="6" w:space="0"/>
              <w:bottom w:val="single" w:color="auto" w:sz="6" w:space="0"/>
              <w:right w:val="single" w:color="auto" w:sz="6" w:space="0"/>
            </w:tcBorders>
            <w:noWrap/>
            <w:vAlign w:val="center"/>
          </w:tcPr>
          <w:p w14:paraId="1C952729">
            <w:pPr>
              <w:autoSpaceDE w:val="0"/>
              <w:autoSpaceDN w:val="0"/>
              <w:jc w:val="left"/>
              <w:rPr>
                <w:rFonts w:ascii="宋体" w:hAnsi="宋体"/>
                <w:b/>
                <w:sz w:val="20"/>
                <w:szCs w:val="20"/>
              </w:rPr>
            </w:pPr>
            <w:r>
              <w:rPr>
                <w:rFonts w:hint="eastAsia" w:ascii="宋体" w:hAnsi="宋体"/>
                <w:b/>
                <w:sz w:val="20"/>
                <w:szCs w:val="20"/>
              </w:rPr>
              <w:t>1.项目总经费</w:t>
            </w:r>
          </w:p>
        </w:tc>
        <w:tc>
          <w:tcPr>
            <w:tcW w:w="2164" w:type="dxa"/>
            <w:tcBorders>
              <w:top w:val="single" w:color="auto" w:sz="6" w:space="0"/>
              <w:left w:val="single" w:color="auto" w:sz="6" w:space="0"/>
              <w:bottom w:val="single" w:color="auto" w:sz="6" w:space="0"/>
              <w:right w:val="single" w:color="auto" w:sz="6" w:space="0"/>
            </w:tcBorders>
            <w:noWrap/>
          </w:tcPr>
          <w:p w14:paraId="0C2A9E8F">
            <w:pPr>
              <w:autoSpaceDE w:val="0"/>
              <w:autoSpaceDN w:val="0"/>
              <w:rPr>
                <w:sz w:val="20"/>
                <w:szCs w:val="20"/>
              </w:rPr>
            </w:pPr>
          </w:p>
        </w:tc>
        <w:tc>
          <w:tcPr>
            <w:tcW w:w="1982" w:type="dxa"/>
            <w:tcBorders>
              <w:top w:val="single" w:color="auto" w:sz="6" w:space="0"/>
              <w:left w:val="single" w:color="auto" w:sz="6" w:space="0"/>
              <w:bottom w:val="single" w:color="auto" w:sz="6" w:space="0"/>
              <w:right w:val="single" w:color="auto" w:sz="6" w:space="0"/>
            </w:tcBorders>
            <w:noWrap/>
          </w:tcPr>
          <w:p w14:paraId="14AA0564">
            <w:pPr>
              <w:autoSpaceDE w:val="0"/>
              <w:autoSpaceDN w:val="0"/>
              <w:rPr>
                <w:sz w:val="20"/>
                <w:szCs w:val="20"/>
              </w:rPr>
            </w:pPr>
          </w:p>
        </w:tc>
        <w:tc>
          <w:tcPr>
            <w:tcW w:w="1789" w:type="dxa"/>
            <w:tcBorders>
              <w:top w:val="single" w:color="auto" w:sz="6" w:space="0"/>
              <w:left w:val="single" w:color="auto" w:sz="6" w:space="0"/>
              <w:bottom w:val="single" w:color="auto" w:sz="6" w:space="0"/>
              <w:right w:val="single" w:color="auto" w:sz="6" w:space="0"/>
            </w:tcBorders>
            <w:noWrap/>
          </w:tcPr>
          <w:p w14:paraId="6BD7DDF5">
            <w:pPr>
              <w:autoSpaceDE w:val="0"/>
              <w:autoSpaceDN w:val="0"/>
              <w:rPr>
                <w:sz w:val="20"/>
                <w:szCs w:val="20"/>
              </w:rPr>
            </w:pPr>
          </w:p>
        </w:tc>
        <w:tc>
          <w:tcPr>
            <w:tcW w:w="1490" w:type="dxa"/>
            <w:tcBorders>
              <w:top w:val="single" w:color="auto" w:sz="6" w:space="0"/>
              <w:left w:val="single" w:color="auto" w:sz="6" w:space="0"/>
              <w:bottom w:val="single" w:color="auto" w:sz="6" w:space="0"/>
              <w:right w:val="single" w:color="auto" w:sz="6" w:space="0"/>
            </w:tcBorders>
            <w:noWrap/>
          </w:tcPr>
          <w:p w14:paraId="53F8EC87">
            <w:pPr>
              <w:autoSpaceDE w:val="0"/>
              <w:autoSpaceDN w:val="0"/>
              <w:jc w:val="center"/>
              <w:rPr>
                <w:sz w:val="20"/>
                <w:szCs w:val="20"/>
              </w:rPr>
            </w:pPr>
            <w:r>
              <w:rPr>
                <w:rFonts w:hint="eastAsia"/>
                <w:sz w:val="20"/>
                <w:szCs w:val="20"/>
              </w:rPr>
              <w:t>—</w:t>
            </w:r>
          </w:p>
        </w:tc>
        <w:tc>
          <w:tcPr>
            <w:tcW w:w="1811" w:type="dxa"/>
            <w:tcBorders>
              <w:top w:val="single" w:color="auto" w:sz="6" w:space="0"/>
              <w:left w:val="single" w:color="auto" w:sz="6" w:space="0"/>
              <w:bottom w:val="single" w:color="auto" w:sz="6" w:space="0"/>
              <w:right w:val="single" w:color="auto" w:sz="6" w:space="0"/>
            </w:tcBorders>
            <w:noWrap/>
            <w:vAlign w:val="center"/>
          </w:tcPr>
          <w:p w14:paraId="2B262AFF">
            <w:pPr>
              <w:autoSpaceDE w:val="0"/>
              <w:autoSpaceDN w:val="0"/>
              <w:jc w:val="center"/>
              <w:rPr>
                <w:sz w:val="20"/>
                <w:szCs w:val="20"/>
              </w:rPr>
            </w:pPr>
            <w:r>
              <w:rPr>
                <w:rFonts w:hint="eastAsia"/>
                <w:sz w:val="20"/>
                <w:szCs w:val="20"/>
              </w:rPr>
              <w:t>—</w:t>
            </w:r>
          </w:p>
        </w:tc>
        <w:tc>
          <w:tcPr>
            <w:tcW w:w="1106" w:type="dxa"/>
            <w:tcBorders>
              <w:top w:val="single" w:color="auto" w:sz="6" w:space="0"/>
              <w:left w:val="single" w:color="auto" w:sz="6" w:space="0"/>
              <w:right w:val="single" w:color="auto" w:sz="6" w:space="0"/>
            </w:tcBorders>
            <w:noWrap/>
            <w:vAlign w:val="center"/>
          </w:tcPr>
          <w:p w14:paraId="3D74B594">
            <w:pPr>
              <w:autoSpaceDE w:val="0"/>
              <w:autoSpaceDN w:val="0"/>
              <w:rPr>
                <w:sz w:val="20"/>
                <w:szCs w:val="20"/>
              </w:rPr>
            </w:pPr>
          </w:p>
        </w:tc>
      </w:tr>
      <w:tr w14:paraId="25CD6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340" w:hRule="atLeast"/>
          <w:jc w:val="center"/>
        </w:trPr>
        <w:tc>
          <w:tcPr>
            <w:tcW w:w="825" w:type="dxa"/>
            <w:tcBorders>
              <w:top w:val="single" w:color="auto" w:sz="6" w:space="0"/>
              <w:left w:val="single" w:color="auto" w:sz="6" w:space="0"/>
              <w:bottom w:val="single" w:color="auto" w:sz="6" w:space="0"/>
              <w:right w:val="single" w:color="auto" w:sz="6" w:space="0"/>
            </w:tcBorders>
            <w:noWrap/>
            <w:vAlign w:val="center"/>
          </w:tcPr>
          <w:p w14:paraId="18E8CAD8">
            <w:pPr>
              <w:autoSpaceDE w:val="0"/>
              <w:autoSpaceDN w:val="0"/>
              <w:ind w:left="608" w:hanging="608"/>
              <w:jc w:val="center"/>
              <w:rPr>
                <w:sz w:val="20"/>
                <w:szCs w:val="20"/>
              </w:rPr>
            </w:pPr>
            <w:r>
              <w:rPr>
                <w:rFonts w:hint="eastAsia"/>
                <w:sz w:val="20"/>
                <w:szCs w:val="20"/>
              </w:rPr>
              <w:t>（2）</w:t>
            </w:r>
          </w:p>
        </w:tc>
        <w:tc>
          <w:tcPr>
            <w:tcW w:w="2851" w:type="dxa"/>
            <w:tcBorders>
              <w:top w:val="single" w:color="auto" w:sz="6" w:space="0"/>
              <w:left w:val="single" w:color="auto" w:sz="6" w:space="0"/>
              <w:bottom w:val="single" w:color="auto" w:sz="6" w:space="0"/>
              <w:right w:val="single" w:color="auto" w:sz="6" w:space="0"/>
            </w:tcBorders>
            <w:noWrap/>
            <w:vAlign w:val="center"/>
          </w:tcPr>
          <w:p w14:paraId="116248DD">
            <w:pPr>
              <w:autoSpaceDE w:val="0"/>
              <w:autoSpaceDN w:val="0"/>
              <w:jc w:val="left"/>
              <w:rPr>
                <w:rFonts w:ascii="宋体" w:hAnsi="宋体"/>
                <w:b/>
                <w:sz w:val="20"/>
                <w:szCs w:val="20"/>
              </w:rPr>
            </w:pPr>
            <w:r>
              <w:rPr>
                <w:rFonts w:hint="eastAsia" w:ascii="宋体" w:hAnsi="宋体"/>
                <w:b/>
                <w:sz w:val="20"/>
                <w:szCs w:val="20"/>
              </w:rPr>
              <w:t>2.项目直接费用</w:t>
            </w:r>
          </w:p>
        </w:tc>
        <w:tc>
          <w:tcPr>
            <w:tcW w:w="2164" w:type="dxa"/>
            <w:tcBorders>
              <w:top w:val="single" w:color="auto" w:sz="6" w:space="0"/>
              <w:left w:val="single" w:color="auto" w:sz="6" w:space="0"/>
              <w:bottom w:val="single" w:color="auto" w:sz="6" w:space="0"/>
              <w:right w:val="single" w:color="auto" w:sz="6" w:space="0"/>
            </w:tcBorders>
            <w:noWrap/>
          </w:tcPr>
          <w:p w14:paraId="01A15DB7">
            <w:pPr>
              <w:autoSpaceDE w:val="0"/>
              <w:autoSpaceDN w:val="0"/>
              <w:rPr>
                <w:sz w:val="20"/>
                <w:szCs w:val="20"/>
              </w:rPr>
            </w:pPr>
          </w:p>
        </w:tc>
        <w:tc>
          <w:tcPr>
            <w:tcW w:w="1982" w:type="dxa"/>
            <w:tcBorders>
              <w:top w:val="single" w:color="auto" w:sz="6" w:space="0"/>
              <w:left w:val="single" w:color="auto" w:sz="6" w:space="0"/>
              <w:bottom w:val="single" w:color="auto" w:sz="6" w:space="0"/>
              <w:right w:val="single" w:color="auto" w:sz="6" w:space="0"/>
            </w:tcBorders>
            <w:noWrap/>
          </w:tcPr>
          <w:p w14:paraId="46C6F28F">
            <w:pPr>
              <w:autoSpaceDE w:val="0"/>
              <w:autoSpaceDN w:val="0"/>
              <w:rPr>
                <w:sz w:val="20"/>
                <w:szCs w:val="20"/>
              </w:rPr>
            </w:pPr>
          </w:p>
        </w:tc>
        <w:tc>
          <w:tcPr>
            <w:tcW w:w="1789" w:type="dxa"/>
            <w:tcBorders>
              <w:top w:val="single" w:color="auto" w:sz="6" w:space="0"/>
              <w:left w:val="single" w:color="auto" w:sz="6" w:space="0"/>
              <w:bottom w:val="single" w:color="auto" w:sz="6" w:space="0"/>
              <w:right w:val="single" w:color="auto" w:sz="6" w:space="0"/>
            </w:tcBorders>
            <w:noWrap/>
          </w:tcPr>
          <w:p w14:paraId="2EDE7BCB">
            <w:pPr>
              <w:autoSpaceDE w:val="0"/>
              <w:autoSpaceDN w:val="0"/>
              <w:rPr>
                <w:sz w:val="20"/>
                <w:szCs w:val="20"/>
              </w:rPr>
            </w:pPr>
          </w:p>
        </w:tc>
        <w:tc>
          <w:tcPr>
            <w:tcW w:w="1490" w:type="dxa"/>
            <w:tcBorders>
              <w:top w:val="single" w:color="auto" w:sz="6" w:space="0"/>
              <w:left w:val="single" w:color="auto" w:sz="6" w:space="0"/>
              <w:bottom w:val="single" w:color="auto" w:sz="6" w:space="0"/>
              <w:right w:val="single" w:color="auto" w:sz="6" w:space="0"/>
            </w:tcBorders>
            <w:noWrap/>
          </w:tcPr>
          <w:p w14:paraId="1A543242">
            <w:pPr>
              <w:autoSpaceDE w:val="0"/>
              <w:autoSpaceDN w:val="0"/>
              <w:rPr>
                <w:sz w:val="20"/>
                <w:szCs w:val="20"/>
              </w:rPr>
            </w:pPr>
          </w:p>
        </w:tc>
        <w:tc>
          <w:tcPr>
            <w:tcW w:w="1811" w:type="dxa"/>
            <w:tcBorders>
              <w:top w:val="single" w:color="auto" w:sz="6" w:space="0"/>
              <w:left w:val="single" w:color="auto" w:sz="6" w:space="0"/>
              <w:bottom w:val="single" w:color="auto" w:sz="6" w:space="0"/>
              <w:right w:val="single" w:color="auto" w:sz="6" w:space="0"/>
            </w:tcBorders>
            <w:noWrap/>
            <w:vAlign w:val="center"/>
          </w:tcPr>
          <w:p w14:paraId="606B6BBD">
            <w:pPr>
              <w:autoSpaceDE w:val="0"/>
              <w:autoSpaceDN w:val="0"/>
              <w:rPr>
                <w:sz w:val="20"/>
                <w:szCs w:val="20"/>
              </w:rPr>
            </w:pPr>
          </w:p>
        </w:tc>
        <w:tc>
          <w:tcPr>
            <w:tcW w:w="1106" w:type="dxa"/>
            <w:tcBorders>
              <w:top w:val="single" w:color="auto" w:sz="6" w:space="0"/>
              <w:left w:val="single" w:color="auto" w:sz="6" w:space="0"/>
              <w:bottom w:val="single" w:color="auto" w:sz="4" w:space="0"/>
              <w:right w:val="single" w:color="auto" w:sz="6" w:space="0"/>
            </w:tcBorders>
            <w:noWrap/>
            <w:vAlign w:val="center"/>
          </w:tcPr>
          <w:p w14:paraId="091CC5AB">
            <w:pPr>
              <w:autoSpaceDE w:val="0"/>
              <w:autoSpaceDN w:val="0"/>
              <w:jc w:val="center"/>
              <w:rPr>
                <w:sz w:val="20"/>
                <w:szCs w:val="20"/>
              </w:rPr>
            </w:pPr>
            <w:r>
              <w:rPr>
                <w:rFonts w:hint="eastAsia"/>
                <w:sz w:val="20"/>
                <w:szCs w:val="20"/>
              </w:rPr>
              <w:t>—</w:t>
            </w:r>
          </w:p>
        </w:tc>
      </w:tr>
      <w:tr w14:paraId="5DA5F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340" w:hRule="atLeast"/>
          <w:jc w:val="center"/>
        </w:trPr>
        <w:tc>
          <w:tcPr>
            <w:tcW w:w="825" w:type="dxa"/>
            <w:tcBorders>
              <w:top w:val="single" w:color="auto" w:sz="6" w:space="0"/>
              <w:left w:val="single" w:color="auto" w:sz="6" w:space="0"/>
              <w:bottom w:val="single" w:color="auto" w:sz="6" w:space="0"/>
              <w:right w:val="single" w:color="auto" w:sz="6" w:space="0"/>
            </w:tcBorders>
            <w:noWrap/>
            <w:vAlign w:val="center"/>
          </w:tcPr>
          <w:p w14:paraId="795866F9">
            <w:pPr>
              <w:autoSpaceDE w:val="0"/>
              <w:autoSpaceDN w:val="0"/>
              <w:ind w:left="608" w:hanging="608"/>
              <w:jc w:val="center"/>
              <w:rPr>
                <w:sz w:val="20"/>
                <w:szCs w:val="20"/>
              </w:rPr>
            </w:pPr>
            <w:r>
              <w:rPr>
                <w:rFonts w:hint="eastAsia"/>
                <w:sz w:val="20"/>
                <w:szCs w:val="20"/>
              </w:rPr>
              <w:t>（3）</w:t>
            </w:r>
          </w:p>
        </w:tc>
        <w:tc>
          <w:tcPr>
            <w:tcW w:w="2851" w:type="dxa"/>
            <w:tcBorders>
              <w:top w:val="single" w:color="auto" w:sz="6" w:space="0"/>
              <w:left w:val="single" w:color="auto" w:sz="6" w:space="0"/>
              <w:bottom w:val="single" w:color="auto" w:sz="6" w:space="0"/>
              <w:right w:val="single" w:color="auto" w:sz="6" w:space="0"/>
            </w:tcBorders>
            <w:noWrap/>
            <w:vAlign w:val="center"/>
          </w:tcPr>
          <w:p w14:paraId="0BC8D4DD">
            <w:pPr>
              <w:autoSpaceDE w:val="0"/>
              <w:autoSpaceDN w:val="0"/>
              <w:ind w:firstLine="400" w:firstLineChars="200"/>
              <w:rPr>
                <w:rFonts w:ascii="宋体" w:hAnsi="宋体"/>
                <w:sz w:val="20"/>
                <w:szCs w:val="20"/>
              </w:rPr>
            </w:pPr>
            <w:r>
              <w:rPr>
                <w:rFonts w:hint="eastAsia" w:ascii="宋体" w:hAnsi="宋体"/>
                <w:sz w:val="20"/>
                <w:szCs w:val="20"/>
              </w:rPr>
              <w:t>2.1 设备费</w:t>
            </w:r>
          </w:p>
        </w:tc>
        <w:tc>
          <w:tcPr>
            <w:tcW w:w="2164" w:type="dxa"/>
            <w:tcBorders>
              <w:top w:val="single" w:color="auto" w:sz="6" w:space="0"/>
              <w:left w:val="single" w:color="auto" w:sz="6" w:space="0"/>
              <w:bottom w:val="single" w:color="auto" w:sz="6" w:space="0"/>
              <w:right w:val="single" w:color="auto" w:sz="6" w:space="0"/>
            </w:tcBorders>
            <w:noWrap/>
          </w:tcPr>
          <w:p w14:paraId="4249911B">
            <w:pPr>
              <w:autoSpaceDE w:val="0"/>
              <w:autoSpaceDN w:val="0"/>
              <w:rPr>
                <w:sz w:val="20"/>
                <w:szCs w:val="20"/>
              </w:rPr>
            </w:pPr>
          </w:p>
        </w:tc>
        <w:tc>
          <w:tcPr>
            <w:tcW w:w="1982" w:type="dxa"/>
            <w:tcBorders>
              <w:top w:val="single" w:color="auto" w:sz="6" w:space="0"/>
              <w:left w:val="single" w:color="auto" w:sz="6" w:space="0"/>
              <w:bottom w:val="single" w:color="auto" w:sz="6" w:space="0"/>
              <w:right w:val="single" w:color="auto" w:sz="6" w:space="0"/>
            </w:tcBorders>
            <w:noWrap/>
          </w:tcPr>
          <w:p w14:paraId="1FA52035">
            <w:pPr>
              <w:autoSpaceDE w:val="0"/>
              <w:autoSpaceDN w:val="0"/>
              <w:rPr>
                <w:sz w:val="20"/>
                <w:szCs w:val="20"/>
              </w:rPr>
            </w:pPr>
          </w:p>
        </w:tc>
        <w:tc>
          <w:tcPr>
            <w:tcW w:w="1789" w:type="dxa"/>
            <w:tcBorders>
              <w:top w:val="single" w:color="auto" w:sz="6" w:space="0"/>
              <w:left w:val="single" w:color="auto" w:sz="6" w:space="0"/>
              <w:bottom w:val="single" w:color="auto" w:sz="6" w:space="0"/>
              <w:right w:val="single" w:color="auto" w:sz="6" w:space="0"/>
            </w:tcBorders>
            <w:noWrap/>
          </w:tcPr>
          <w:p w14:paraId="47173355">
            <w:pPr>
              <w:autoSpaceDE w:val="0"/>
              <w:autoSpaceDN w:val="0"/>
              <w:rPr>
                <w:sz w:val="20"/>
                <w:szCs w:val="20"/>
              </w:rPr>
            </w:pPr>
          </w:p>
        </w:tc>
        <w:tc>
          <w:tcPr>
            <w:tcW w:w="1490" w:type="dxa"/>
            <w:tcBorders>
              <w:top w:val="single" w:color="auto" w:sz="6" w:space="0"/>
              <w:left w:val="single" w:color="auto" w:sz="6" w:space="0"/>
              <w:bottom w:val="single" w:color="auto" w:sz="6" w:space="0"/>
              <w:right w:val="single" w:color="auto" w:sz="6" w:space="0"/>
            </w:tcBorders>
            <w:noWrap/>
          </w:tcPr>
          <w:p w14:paraId="1382ABAE">
            <w:pPr>
              <w:autoSpaceDE w:val="0"/>
              <w:autoSpaceDN w:val="0"/>
              <w:rPr>
                <w:sz w:val="20"/>
                <w:szCs w:val="20"/>
              </w:rPr>
            </w:pPr>
          </w:p>
        </w:tc>
        <w:tc>
          <w:tcPr>
            <w:tcW w:w="1811" w:type="dxa"/>
            <w:tcBorders>
              <w:top w:val="single" w:color="auto" w:sz="6" w:space="0"/>
              <w:left w:val="single" w:color="auto" w:sz="6" w:space="0"/>
              <w:bottom w:val="single" w:color="auto" w:sz="6" w:space="0"/>
              <w:right w:val="single" w:color="auto" w:sz="6" w:space="0"/>
            </w:tcBorders>
            <w:noWrap/>
            <w:vAlign w:val="center"/>
          </w:tcPr>
          <w:p w14:paraId="00422634">
            <w:pPr>
              <w:autoSpaceDE w:val="0"/>
              <w:autoSpaceDN w:val="0"/>
              <w:rPr>
                <w:sz w:val="20"/>
                <w:szCs w:val="20"/>
              </w:rPr>
            </w:pPr>
          </w:p>
        </w:tc>
        <w:tc>
          <w:tcPr>
            <w:tcW w:w="1106" w:type="dxa"/>
            <w:tcBorders>
              <w:top w:val="single" w:color="auto" w:sz="4" w:space="0"/>
              <w:left w:val="single" w:color="auto" w:sz="6" w:space="0"/>
              <w:bottom w:val="single" w:color="auto" w:sz="4" w:space="0"/>
              <w:right w:val="single" w:color="auto" w:sz="6" w:space="0"/>
            </w:tcBorders>
            <w:noWrap/>
          </w:tcPr>
          <w:p w14:paraId="026F34D7">
            <w:pPr>
              <w:autoSpaceDE w:val="0"/>
              <w:autoSpaceDN w:val="0"/>
              <w:jc w:val="center"/>
              <w:rPr>
                <w:sz w:val="20"/>
                <w:szCs w:val="20"/>
              </w:rPr>
            </w:pPr>
            <w:r>
              <w:rPr>
                <w:rFonts w:hint="eastAsia"/>
                <w:sz w:val="20"/>
                <w:szCs w:val="20"/>
              </w:rPr>
              <w:t>—</w:t>
            </w:r>
          </w:p>
        </w:tc>
      </w:tr>
      <w:tr w14:paraId="17880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340" w:hRule="atLeast"/>
          <w:jc w:val="center"/>
        </w:trPr>
        <w:tc>
          <w:tcPr>
            <w:tcW w:w="825" w:type="dxa"/>
            <w:tcBorders>
              <w:top w:val="single" w:color="auto" w:sz="6" w:space="0"/>
              <w:left w:val="single" w:color="auto" w:sz="6" w:space="0"/>
              <w:bottom w:val="single" w:color="auto" w:sz="6" w:space="0"/>
              <w:right w:val="single" w:color="auto" w:sz="6" w:space="0"/>
            </w:tcBorders>
            <w:noWrap/>
            <w:vAlign w:val="center"/>
          </w:tcPr>
          <w:p w14:paraId="086F6F88">
            <w:pPr>
              <w:autoSpaceDE w:val="0"/>
              <w:autoSpaceDN w:val="0"/>
              <w:ind w:left="608" w:hanging="608"/>
              <w:jc w:val="center"/>
              <w:rPr>
                <w:sz w:val="20"/>
                <w:szCs w:val="20"/>
              </w:rPr>
            </w:pPr>
            <w:r>
              <w:rPr>
                <w:rFonts w:hint="eastAsia"/>
                <w:sz w:val="20"/>
                <w:szCs w:val="20"/>
              </w:rPr>
              <w:t>（4）</w:t>
            </w:r>
          </w:p>
        </w:tc>
        <w:tc>
          <w:tcPr>
            <w:tcW w:w="2851" w:type="dxa"/>
            <w:tcBorders>
              <w:top w:val="single" w:color="auto" w:sz="6" w:space="0"/>
              <w:left w:val="single" w:color="auto" w:sz="6" w:space="0"/>
              <w:bottom w:val="single" w:color="auto" w:sz="6" w:space="0"/>
              <w:right w:val="single" w:color="auto" w:sz="6" w:space="0"/>
            </w:tcBorders>
            <w:noWrap/>
            <w:vAlign w:val="center"/>
          </w:tcPr>
          <w:p w14:paraId="64B60672">
            <w:pPr>
              <w:autoSpaceDE w:val="0"/>
              <w:autoSpaceDN w:val="0"/>
              <w:ind w:firstLine="800" w:firstLineChars="400"/>
              <w:rPr>
                <w:rFonts w:ascii="宋体" w:hAnsi="宋体"/>
                <w:sz w:val="20"/>
                <w:szCs w:val="20"/>
              </w:rPr>
            </w:pPr>
            <w:r>
              <w:rPr>
                <w:rFonts w:hint="eastAsia" w:ascii="宋体" w:hAnsi="宋体"/>
                <w:sz w:val="20"/>
                <w:szCs w:val="20"/>
              </w:rPr>
              <w:t>其中：设备购置费</w:t>
            </w:r>
          </w:p>
        </w:tc>
        <w:tc>
          <w:tcPr>
            <w:tcW w:w="2164" w:type="dxa"/>
            <w:tcBorders>
              <w:top w:val="single" w:color="auto" w:sz="6" w:space="0"/>
              <w:left w:val="single" w:color="auto" w:sz="6" w:space="0"/>
              <w:bottom w:val="single" w:color="auto" w:sz="6" w:space="0"/>
              <w:right w:val="single" w:color="auto" w:sz="6" w:space="0"/>
            </w:tcBorders>
            <w:noWrap/>
          </w:tcPr>
          <w:p w14:paraId="4577E53B">
            <w:pPr>
              <w:autoSpaceDE w:val="0"/>
              <w:autoSpaceDN w:val="0"/>
              <w:rPr>
                <w:sz w:val="20"/>
                <w:szCs w:val="20"/>
              </w:rPr>
            </w:pPr>
          </w:p>
        </w:tc>
        <w:tc>
          <w:tcPr>
            <w:tcW w:w="1982" w:type="dxa"/>
            <w:tcBorders>
              <w:top w:val="single" w:color="auto" w:sz="6" w:space="0"/>
              <w:left w:val="single" w:color="auto" w:sz="6" w:space="0"/>
              <w:bottom w:val="single" w:color="auto" w:sz="6" w:space="0"/>
              <w:right w:val="single" w:color="auto" w:sz="6" w:space="0"/>
            </w:tcBorders>
            <w:noWrap/>
          </w:tcPr>
          <w:p w14:paraId="5B3270EF">
            <w:pPr>
              <w:autoSpaceDE w:val="0"/>
              <w:autoSpaceDN w:val="0"/>
              <w:rPr>
                <w:sz w:val="20"/>
                <w:szCs w:val="20"/>
              </w:rPr>
            </w:pPr>
          </w:p>
        </w:tc>
        <w:tc>
          <w:tcPr>
            <w:tcW w:w="1789" w:type="dxa"/>
            <w:tcBorders>
              <w:top w:val="single" w:color="auto" w:sz="6" w:space="0"/>
              <w:left w:val="single" w:color="auto" w:sz="6" w:space="0"/>
              <w:bottom w:val="single" w:color="auto" w:sz="6" w:space="0"/>
              <w:right w:val="single" w:color="auto" w:sz="6" w:space="0"/>
            </w:tcBorders>
            <w:noWrap/>
          </w:tcPr>
          <w:p w14:paraId="55497EE5">
            <w:pPr>
              <w:autoSpaceDE w:val="0"/>
              <w:autoSpaceDN w:val="0"/>
              <w:rPr>
                <w:sz w:val="20"/>
                <w:szCs w:val="20"/>
              </w:rPr>
            </w:pPr>
          </w:p>
        </w:tc>
        <w:tc>
          <w:tcPr>
            <w:tcW w:w="1490" w:type="dxa"/>
            <w:tcBorders>
              <w:top w:val="single" w:color="auto" w:sz="6" w:space="0"/>
              <w:left w:val="single" w:color="auto" w:sz="6" w:space="0"/>
              <w:bottom w:val="single" w:color="auto" w:sz="6" w:space="0"/>
              <w:right w:val="single" w:color="auto" w:sz="6" w:space="0"/>
            </w:tcBorders>
            <w:noWrap/>
          </w:tcPr>
          <w:p w14:paraId="4591BF88">
            <w:pPr>
              <w:autoSpaceDE w:val="0"/>
              <w:autoSpaceDN w:val="0"/>
              <w:rPr>
                <w:sz w:val="20"/>
                <w:szCs w:val="20"/>
              </w:rPr>
            </w:pPr>
          </w:p>
        </w:tc>
        <w:tc>
          <w:tcPr>
            <w:tcW w:w="1811" w:type="dxa"/>
            <w:tcBorders>
              <w:top w:val="single" w:color="auto" w:sz="6" w:space="0"/>
              <w:left w:val="single" w:color="auto" w:sz="6" w:space="0"/>
              <w:bottom w:val="single" w:color="auto" w:sz="6" w:space="0"/>
              <w:right w:val="single" w:color="auto" w:sz="6" w:space="0"/>
            </w:tcBorders>
            <w:noWrap/>
            <w:vAlign w:val="center"/>
          </w:tcPr>
          <w:p w14:paraId="0F3EFB1E">
            <w:pPr>
              <w:autoSpaceDE w:val="0"/>
              <w:autoSpaceDN w:val="0"/>
              <w:rPr>
                <w:sz w:val="20"/>
                <w:szCs w:val="20"/>
              </w:rPr>
            </w:pPr>
          </w:p>
        </w:tc>
        <w:tc>
          <w:tcPr>
            <w:tcW w:w="1106" w:type="dxa"/>
            <w:tcBorders>
              <w:top w:val="single" w:color="auto" w:sz="4" w:space="0"/>
              <w:left w:val="single" w:color="auto" w:sz="6" w:space="0"/>
              <w:bottom w:val="single" w:color="auto" w:sz="4" w:space="0"/>
              <w:right w:val="single" w:color="auto" w:sz="6" w:space="0"/>
            </w:tcBorders>
            <w:noWrap/>
          </w:tcPr>
          <w:p w14:paraId="61A0D8BC">
            <w:pPr>
              <w:autoSpaceDE w:val="0"/>
              <w:autoSpaceDN w:val="0"/>
              <w:jc w:val="center"/>
              <w:rPr>
                <w:sz w:val="20"/>
                <w:szCs w:val="20"/>
              </w:rPr>
            </w:pPr>
            <w:r>
              <w:rPr>
                <w:rFonts w:hint="eastAsia"/>
                <w:sz w:val="20"/>
                <w:szCs w:val="20"/>
              </w:rPr>
              <w:t>—</w:t>
            </w:r>
          </w:p>
        </w:tc>
      </w:tr>
      <w:tr w14:paraId="49F07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340" w:hRule="atLeast"/>
          <w:jc w:val="center"/>
        </w:trPr>
        <w:tc>
          <w:tcPr>
            <w:tcW w:w="825" w:type="dxa"/>
            <w:tcBorders>
              <w:top w:val="single" w:color="auto" w:sz="6" w:space="0"/>
              <w:left w:val="single" w:color="auto" w:sz="6" w:space="0"/>
              <w:bottom w:val="single" w:color="auto" w:sz="6" w:space="0"/>
              <w:right w:val="single" w:color="auto" w:sz="6" w:space="0"/>
            </w:tcBorders>
            <w:noWrap/>
            <w:vAlign w:val="center"/>
          </w:tcPr>
          <w:p w14:paraId="7D915A62">
            <w:pPr>
              <w:autoSpaceDE w:val="0"/>
              <w:autoSpaceDN w:val="0"/>
              <w:ind w:left="608" w:hanging="608"/>
              <w:jc w:val="center"/>
              <w:rPr>
                <w:sz w:val="20"/>
                <w:szCs w:val="20"/>
              </w:rPr>
            </w:pPr>
            <w:r>
              <w:rPr>
                <w:rFonts w:hint="eastAsia"/>
                <w:sz w:val="20"/>
                <w:szCs w:val="20"/>
              </w:rPr>
              <w:t>（5）</w:t>
            </w:r>
          </w:p>
        </w:tc>
        <w:tc>
          <w:tcPr>
            <w:tcW w:w="2851" w:type="dxa"/>
            <w:tcBorders>
              <w:top w:val="single" w:color="auto" w:sz="6" w:space="0"/>
              <w:left w:val="single" w:color="auto" w:sz="6" w:space="0"/>
              <w:bottom w:val="single" w:color="auto" w:sz="6" w:space="0"/>
              <w:right w:val="single" w:color="auto" w:sz="6" w:space="0"/>
            </w:tcBorders>
            <w:noWrap/>
            <w:vAlign w:val="center"/>
          </w:tcPr>
          <w:p w14:paraId="75F1843F">
            <w:pPr>
              <w:autoSpaceDE w:val="0"/>
              <w:autoSpaceDN w:val="0"/>
              <w:ind w:firstLine="400" w:firstLineChars="200"/>
              <w:rPr>
                <w:rFonts w:ascii="宋体" w:hAnsi="宋体"/>
                <w:sz w:val="20"/>
                <w:szCs w:val="20"/>
              </w:rPr>
            </w:pPr>
            <w:r>
              <w:rPr>
                <w:rFonts w:hint="eastAsia" w:ascii="宋体" w:hAnsi="宋体"/>
                <w:sz w:val="20"/>
                <w:szCs w:val="20"/>
              </w:rPr>
              <w:t>2.</w:t>
            </w:r>
            <w:r>
              <w:rPr>
                <w:rFonts w:ascii="宋体" w:hAnsi="宋体"/>
                <w:sz w:val="20"/>
                <w:szCs w:val="20"/>
              </w:rPr>
              <w:t>2</w:t>
            </w:r>
            <w:r>
              <w:rPr>
                <w:rFonts w:hint="eastAsia" w:ascii="宋体" w:hAnsi="宋体"/>
                <w:sz w:val="20"/>
                <w:szCs w:val="20"/>
              </w:rPr>
              <w:t>业务费</w:t>
            </w:r>
          </w:p>
        </w:tc>
        <w:tc>
          <w:tcPr>
            <w:tcW w:w="2164" w:type="dxa"/>
            <w:tcBorders>
              <w:top w:val="single" w:color="auto" w:sz="6" w:space="0"/>
              <w:left w:val="single" w:color="auto" w:sz="6" w:space="0"/>
              <w:bottom w:val="single" w:color="auto" w:sz="6" w:space="0"/>
              <w:right w:val="single" w:color="auto" w:sz="6" w:space="0"/>
            </w:tcBorders>
            <w:noWrap/>
          </w:tcPr>
          <w:p w14:paraId="07DE2F22">
            <w:pPr>
              <w:autoSpaceDE w:val="0"/>
              <w:autoSpaceDN w:val="0"/>
              <w:rPr>
                <w:sz w:val="20"/>
                <w:szCs w:val="20"/>
              </w:rPr>
            </w:pPr>
          </w:p>
        </w:tc>
        <w:tc>
          <w:tcPr>
            <w:tcW w:w="1982" w:type="dxa"/>
            <w:tcBorders>
              <w:top w:val="single" w:color="auto" w:sz="6" w:space="0"/>
              <w:left w:val="single" w:color="auto" w:sz="6" w:space="0"/>
              <w:bottom w:val="single" w:color="auto" w:sz="6" w:space="0"/>
              <w:right w:val="single" w:color="auto" w:sz="6" w:space="0"/>
            </w:tcBorders>
            <w:noWrap/>
          </w:tcPr>
          <w:p w14:paraId="6CDAF31A">
            <w:pPr>
              <w:autoSpaceDE w:val="0"/>
              <w:autoSpaceDN w:val="0"/>
              <w:rPr>
                <w:sz w:val="20"/>
                <w:szCs w:val="20"/>
              </w:rPr>
            </w:pPr>
          </w:p>
        </w:tc>
        <w:tc>
          <w:tcPr>
            <w:tcW w:w="1789" w:type="dxa"/>
            <w:tcBorders>
              <w:top w:val="single" w:color="auto" w:sz="6" w:space="0"/>
              <w:left w:val="single" w:color="auto" w:sz="6" w:space="0"/>
              <w:bottom w:val="single" w:color="auto" w:sz="6" w:space="0"/>
              <w:right w:val="single" w:color="auto" w:sz="6" w:space="0"/>
            </w:tcBorders>
            <w:noWrap/>
          </w:tcPr>
          <w:p w14:paraId="6CC5403D">
            <w:pPr>
              <w:autoSpaceDE w:val="0"/>
              <w:autoSpaceDN w:val="0"/>
              <w:rPr>
                <w:sz w:val="20"/>
                <w:szCs w:val="20"/>
              </w:rPr>
            </w:pPr>
          </w:p>
        </w:tc>
        <w:tc>
          <w:tcPr>
            <w:tcW w:w="1490" w:type="dxa"/>
            <w:tcBorders>
              <w:top w:val="single" w:color="auto" w:sz="6" w:space="0"/>
              <w:left w:val="single" w:color="auto" w:sz="6" w:space="0"/>
              <w:bottom w:val="single" w:color="auto" w:sz="6" w:space="0"/>
              <w:right w:val="single" w:color="auto" w:sz="6" w:space="0"/>
            </w:tcBorders>
            <w:noWrap/>
          </w:tcPr>
          <w:p w14:paraId="70ED942D">
            <w:pPr>
              <w:autoSpaceDE w:val="0"/>
              <w:autoSpaceDN w:val="0"/>
              <w:rPr>
                <w:sz w:val="20"/>
                <w:szCs w:val="20"/>
              </w:rPr>
            </w:pPr>
          </w:p>
        </w:tc>
        <w:tc>
          <w:tcPr>
            <w:tcW w:w="1811" w:type="dxa"/>
            <w:tcBorders>
              <w:top w:val="single" w:color="auto" w:sz="6" w:space="0"/>
              <w:left w:val="single" w:color="auto" w:sz="6" w:space="0"/>
              <w:bottom w:val="single" w:color="auto" w:sz="6" w:space="0"/>
              <w:right w:val="single" w:color="auto" w:sz="6" w:space="0"/>
            </w:tcBorders>
            <w:noWrap/>
            <w:vAlign w:val="center"/>
          </w:tcPr>
          <w:p w14:paraId="66F4288C">
            <w:pPr>
              <w:autoSpaceDE w:val="0"/>
              <w:autoSpaceDN w:val="0"/>
              <w:rPr>
                <w:sz w:val="20"/>
                <w:szCs w:val="20"/>
              </w:rPr>
            </w:pPr>
          </w:p>
        </w:tc>
        <w:tc>
          <w:tcPr>
            <w:tcW w:w="1106" w:type="dxa"/>
            <w:tcBorders>
              <w:top w:val="single" w:color="auto" w:sz="4" w:space="0"/>
              <w:left w:val="single" w:color="auto" w:sz="6" w:space="0"/>
              <w:bottom w:val="single" w:color="auto" w:sz="4" w:space="0"/>
              <w:right w:val="single" w:color="auto" w:sz="6" w:space="0"/>
            </w:tcBorders>
            <w:noWrap/>
          </w:tcPr>
          <w:p w14:paraId="73E2F3D1">
            <w:pPr>
              <w:autoSpaceDE w:val="0"/>
              <w:autoSpaceDN w:val="0"/>
              <w:jc w:val="center"/>
              <w:rPr>
                <w:sz w:val="20"/>
                <w:szCs w:val="20"/>
              </w:rPr>
            </w:pPr>
            <w:r>
              <w:rPr>
                <w:rFonts w:hint="eastAsia"/>
                <w:sz w:val="20"/>
                <w:szCs w:val="20"/>
              </w:rPr>
              <w:t>—</w:t>
            </w:r>
          </w:p>
        </w:tc>
      </w:tr>
      <w:tr w14:paraId="2A839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340" w:hRule="atLeast"/>
          <w:jc w:val="center"/>
        </w:trPr>
        <w:tc>
          <w:tcPr>
            <w:tcW w:w="825" w:type="dxa"/>
            <w:tcBorders>
              <w:top w:val="single" w:color="auto" w:sz="6" w:space="0"/>
              <w:left w:val="single" w:color="auto" w:sz="6" w:space="0"/>
              <w:bottom w:val="single" w:color="auto" w:sz="6" w:space="0"/>
              <w:right w:val="single" w:color="auto" w:sz="6" w:space="0"/>
            </w:tcBorders>
            <w:noWrap/>
            <w:vAlign w:val="center"/>
          </w:tcPr>
          <w:p w14:paraId="182E492B">
            <w:pPr>
              <w:autoSpaceDE w:val="0"/>
              <w:autoSpaceDN w:val="0"/>
              <w:ind w:left="608" w:hanging="608"/>
              <w:jc w:val="center"/>
              <w:rPr>
                <w:sz w:val="20"/>
                <w:szCs w:val="20"/>
              </w:rPr>
            </w:pPr>
            <w:r>
              <w:rPr>
                <w:rFonts w:hint="eastAsia"/>
                <w:sz w:val="20"/>
                <w:szCs w:val="20"/>
              </w:rPr>
              <w:t>（6）</w:t>
            </w:r>
          </w:p>
        </w:tc>
        <w:tc>
          <w:tcPr>
            <w:tcW w:w="2851" w:type="dxa"/>
            <w:tcBorders>
              <w:top w:val="single" w:color="auto" w:sz="6" w:space="0"/>
              <w:left w:val="single" w:color="auto" w:sz="6" w:space="0"/>
              <w:bottom w:val="single" w:color="auto" w:sz="6" w:space="0"/>
              <w:right w:val="single" w:color="auto" w:sz="6" w:space="0"/>
            </w:tcBorders>
            <w:noWrap/>
            <w:vAlign w:val="center"/>
          </w:tcPr>
          <w:p w14:paraId="1DCA8916">
            <w:pPr>
              <w:autoSpaceDE w:val="0"/>
              <w:autoSpaceDN w:val="0"/>
              <w:ind w:firstLine="400" w:firstLineChars="200"/>
              <w:rPr>
                <w:rFonts w:ascii="宋体" w:hAnsi="宋体"/>
                <w:sz w:val="20"/>
                <w:szCs w:val="20"/>
              </w:rPr>
            </w:pPr>
            <w:r>
              <w:rPr>
                <w:rFonts w:hint="eastAsia" w:ascii="宋体" w:hAnsi="宋体"/>
                <w:sz w:val="20"/>
                <w:szCs w:val="20"/>
              </w:rPr>
              <w:t>2.</w:t>
            </w:r>
            <w:r>
              <w:rPr>
                <w:rFonts w:ascii="宋体" w:hAnsi="宋体"/>
                <w:sz w:val="20"/>
                <w:szCs w:val="20"/>
              </w:rPr>
              <w:t>3</w:t>
            </w:r>
            <w:r>
              <w:rPr>
                <w:rFonts w:hint="eastAsia" w:ascii="宋体" w:hAnsi="宋体"/>
                <w:sz w:val="20"/>
                <w:szCs w:val="20"/>
              </w:rPr>
              <w:t>劳务费</w:t>
            </w:r>
          </w:p>
        </w:tc>
        <w:tc>
          <w:tcPr>
            <w:tcW w:w="2164" w:type="dxa"/>
            <w:tcBorders>
              <w:top w:val="single" w:color="auto" w:sz="6" w:space="0"/>
              <w:left w:val="single" w:color="auto" w:sz="6" w:space="0"/>
              <w:bottom w:val="single" w:color="auto" w:sz="6" w:space="0"/>
              <w:right w:val="single" w:color="auto" w:sz="6" w:space="0"/>
            </w:tcBorders>
            <w:noWrap/>
          </w:tcPr>
          <w:p w14:paraId="5744FF52">
            <w:pPr>
              <w:autoSpaceDE w:val="0"/>
              <w:autoSpaceDN w:val="0"/>
              <w:rPr>
                <w:sz w:val="20"/>
                <w:szCs w:val="20"/>
              </w:rPr>
            </w:pPr>
          </w:p>
        </w:tc>
        <w:tc>
          <w:tcPr>
            <w:tcW w:w="1982" w:type="dxa"/>
            <w:tcBorders>
              <w:top w:val="single" w:color="auto" w:sz="6" w:space="0"/>
              <w:left w:val="single" w:color="auto" w:sz="6" w:space="0"/>
              <w:bottom w:val="single" w:color="auto" w:sz="6" w:space="0"/>
              <w:right w:val="single" w:color="auto" w:sz="6" w:space="0"/>
            </w:tcBorders>
            <w:noWrap/>
          </w:tcPr>
          <w:p w14:paraId="6445EF4B">
            <w:pPr>
              <w:autoSpaceDE w:val="0"/>
              <w:autoSpaceDN w:val="0"/>
              <w:rPr>
                <w:sz w:val="20"/>
                <w:szCs w:val="20"/>
              </w:rPr>
            </w:pPr>
          </w:p>
        </w:tc>
        <w:tc>
          <w:tcPr>
            <w:tcW w:w="1789" w:type="dxa"/>
            <w:tcBorders>
              <w:top w:val="single" w:color="auto" w:sz="6" w:space="0"/>
              <w:left w:val="single" w:color="auto" w:sz="6" w:space="0"/>
              <w:bottom w:val="single" w:color="auto" w:sz="6" w:space="0"/>
              <w:right w:val="single" w:color="auto" w:sz="6" w:space="0"/>
            </w:tcBorders>
            <w:noWrap/>
          </w:tcPr>
          <w:p w14:paraId="22393CE5">
            <w:pPr>
              <w:autoSpaceDE w:val="0"/>
              <w:autoSpaceDN w:val="0"/>
              <w:rPr>
                <w:sz w:val="20"/>
                <w:szCs w:val="20"/>
              </w:rPr>
            </w:pPr>
          </w:p>
        </w:tc>
        <w:tc>
          <w:tcPr>
            <w:tcW w:w="1490" w:type="dxa"/>
            <w:tcBorders>
              <w:top w:val="single" w:color="auto" w:sz="6" w:space="0"/>
              <w:left w:val="single" w:color="auto" w:sz="6" w:space="0"/>
              <w:bottom w:val="single" w:color="auto" w:sz="6" w:space="0"/>
              <w:right w:val="single" w:color="auto" w:sz="6" w:space="0"/>
            </w:tcBorders>
            <w:noWrap/>
          </w:tcPr>
          <w:p w14:paraId="76BCE31D">
            <w:pPr>
              <w:autoSpaceDE w:val="0"/>
              <w:autoSpaceDN w:val="0"/>
              <w:rPr>
                <w:sz w:val="20"/>
                <w:szCs w:val="20"/>
              </w:rPr>
            </w:pPr>
          </w:p>
        </w:tc>
        <w:tc>
          <w:tcPr>
            <w:tcW w:w="1811" w:type="dxa"/>
            <w:tcBorders>
              <w:top w:val="single" w:color="auto" w:sz="6" w:space="0"/>
              <w:left w:val="single" w:color="auto" w:sz="6" w:space="0"/>
              <w:bottom w:val="single" w:color="auto" w:sz="6" w:space="0"/>
              <w:right w:val="single" w:color="auto" w:sz="6" w:space="0"/>
            </w:tcBorders>
            <w:noWrap/>
            <w:vAlign w:val="center"/>
          </w:tcPr>
          <w:p w14:paraId="6AAC6438">
            <w:pPr>
              <w:autoSpaceDE w:val="0"/>
              <w:autoSpaceDN w:val="0"/>
              <w:rPr>
                <w:sz w:val="20"/>
                <w:szCs w:val="20"/>
              </w:rPr>
            </w:pPr>
          </w:p>
        </w:tc>
        <w:tc>
          <w:tcPr>
            <w:tcW w:w="1106" w:type="dxa"/>
            <w:tcBorders>
              <w:top w:val="single" w:color="auto" w:sz="4" w:space="0"/>
              <w:left w:val="single" w:color="auto" w:sz="6" w:space="0"/>
              <w:bottom w:val="single" w:color="auto" w:sz="4" w:space="0"/>
              <w:right w:val="single" w:color="auto" w:sz="6" w:space="0"/>
            </w:tcBorders>
            <w:noWrap/>
          </w:tcPr>
          <w:p w14:paraId="68A2EE1B">
            <w:pPr>
              <w:autoSpaceDE w:val="0"/>
              <w:autoSpaceDN w:val="0"/>
              <w:jc w:val="center"/>
              <w:rPr>
                <w:sz w:val="20"/>
                <w:szCs w:val="20"/>
              </w:rPr>
            </w:pPr>
            <w:r>
              <w:rPr>
                <w:rFonts w:hint="eastAsia"/>
                <w:sz w:val="20"/>
                <w:szCs w:val="20"/>
              </w:rPr>
              <w:t>—</w:t>
            </w:r>
          </w:p>
        </w:tc>
      </w:tr>
      <w:tr w14:paraId="13D78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340" w:hRule="atLeast"/>
          <w:jc w:val="center"/>
        </w:trPr>
        <w:tc>
          <w:tcPr>
            <w:tcW w:w="825" w:type="dxa"/>
            <w:tcBorders>
              <w:top w:val="single" w:color="auto" w:sz="6" w:space="0"/>
              <w:left w:val="single" w:color="auto" w:sz="6" w:space="0"/>
              <w:bottom w:val="single" w:color="auto" w:sz="6" w:space="0"/>
              <w:right w:val="single" w:color="auto" w:sz="6" w:space="0"/>
            </w:tcBorders>
            <w:noWrap/>
            <w:vAlign w:val="center"/>
          </w:tcPr>
          <w:p w14:paraId="7348D561">
            <w:pPr>
              <w:autoSpaceDE w:val="0"/>
              <w:autoSpaceDN w:val="0"/>
              <w:ind w:left="608" w:hanging="608"/>
              <w:jc w:val="center"/>
              <w:rPr>
                <w:sz w:val="20"/>
                <w:szCs w:val="20"/>
              </w:rPr>
            </w:pPr>
            <w:r>
              <w:rPr>
                <w:rFonts w:hint="eastAsia"/>
                <w:sz w:val="20"/>
                <w:szCs w:val="20"/>
              </w:rPr>
              <w:t>（7）</w:t>
            </w:r>
          </w:p>
        </w:tc>
        <w:tc>
          <w:tcPr>
            <w:tcW w:w="2851" w:type="dxa"/>
            <w:tcBorders>
              <w:top w:val="single" w:color="auto" w:sz="6" w:space="0"/>
              <w:left w:val="single" w:color="auto" w:sz="6" w:space="0"/>
              <w:bottom w:val="single" w:color="auto" w:sz="6" w:space="0"/>
              <w:right w:val="single" w:color="auto" w:sz="6" w:space="0"/>
            </w:tcBorders>
            <w:noWrap/>
            <w:vAlign w:val="center"/>
          </w:tcPr>
          <w:p w14:paraId="6FCD60C6">
            <w:pPr>
              <w:autoSpaceDE w:val="0"/>
              <w:autoSpaceDN w:val="0"/>
              <w:jc w:val="left"/>
              <w:rPr>
                <w:rFonts w:ascii="宋体" w:hAnsi="宋体"/>
                <w:sz w:val="20"/>
                <w:szCs w:val="20"/>
              </w:rPr>
            </w:pPr>
            <w:r>
              <w:rPr>
                <w:rFonts w:hint="eastAsia" w:ascii="宋体" w:hAnsi="宋体"/>
                <w:b/>
                <w:sz w:val="20"/>
                <w:szCs w:val="20"/>
              </w:rPr>
              <w:t>3.项目间接费用</w:t>
            </w:r>
          </w:p>
        </w:tc>
        <w:tc>
          <w:tcPr>
            <w:tcW w:w="2164" w:type="dxa"/>
            <w:tcBorders>
              <w:top w:val="single" w:color="auto" w:sz="6" w:space="0"/>
              <w:left w:val="single" w:color="auto" w:sz="6" w:space="0"/>
              <w:bottom w:val="single" w:color="auto" w:sz="6" w:space="0"/>
              <w:right w:val="single" w:color="auto" w:sz="6" w:space="0"/>
            </w:tcBorders>
            <w:noWrap/>
          </w:tcPr>
          <w:p w14:paraId="36BD0E21">
            <w:pPr>
              <w:autoSpaceDE w:val="0"/>
              <w:autoSpaceDN w:val="0"/>
              <w:rPr>
                <w:sz w:val="20"/>
                <w:szCs w:val="20"/>
              </w:rPr>
            </w:pPr>
          </w:p>
        </w:tc>
        <w:tc>
          <w:tcPr>
            <w:tcW w:w="1982" w:type="dxa"/>
            <w:tcBorders>
              <w:top w:val="single" w:color="auto" w:sz="6" w:space="0"/>
              <w:left w:val="single" w:color="auto" w:sz="6" w:space="0"/>
              <w:bottom w:val="single" w:color="auto" w:sz="6" w:space="0"/>
              <w:right w:val="single" w:color="auto" w:sz="6" w:space="0"/>
            </w:tcBorders>
            <w:noWrap/>
          </w:tcPr>
          <w:p w14:paraId="3A46AEF8">
            <w:pPr>
              <w:autoSpaceDE w:val="0"/>
              <w:autoSpaceDN w:val="0"/>
              <w:rPr>
                <w:sz w:val="20"/>
                <w:szCs w:val="20"/>
              </w:rPr>
            </w:pPr>
          </w:p>
        </w:tc>
        <w:tc>
          <w:tcPr>
            <w:tcW w:w="1789" w:type="dxa"/>
            <w:tcBorders>
              <w:top w:val="single" w:color="auto" w:sz="6" w:space="0"/>
              <w:left w:val="single" w:color="auto" w:sz="6" w:space="0"/>
              <w:bottom w:val="single" w:color="auto" w:sz="6" w:space="0"/>
              <w:right w:val="single" w:color="auto" w:sz="6" w:space="0"/>
            </w:tcBorders>
            <w:noWrap/>
          </w:tcPr>
          <w:p w14:paraId="4E45950D">
            <w:pPr>
              <w:autoSpaceDE w:val="0"/>
              <w:autoSpaceDN w:val="0"/>
              <w:rPr>
                <w:sz w:val="20"/>
                <w:szCs w:val="20"/>
              </w:rPr>
            </w:pPr>
          </w:p>
        </w:tc>
        <w:tc>
          <w:tcPr>
            <w:tcW w:w="1490" w:type="dxa"/>
            <w:tcBorders>
              <w:top w:val="single" w:color="auto" w:sz="6" w:space="0"/>
              <w:left w:val="single" w:color="auto" w:sz="6" w:space="0"/>
              <w:bottom w:val="single" w:color="auto" w:sz="6" w:space="0"/>
              <w:right w:val="single" w:color="auto" w:sz="6" w:space="0"/>
            </w:tcBorders>
            <w:noWrap/>
          </w:tcPr>
          <w:p w14:paraId="5A272832">
            <w:pPr>
              <w:autoSpaceDE w:val="0"/>
              <w:autoSpaceDN w:val="0"/>
              <w:jc w:val="center"/>
              <w:rPr>
                <w:sz w:val="20"/>
                <w:szCs w:val="20"/>
              </w:rPr>
            </w:pPr>
            <w:r>
              <w:rPr>
                <w:rFonts w:hint="eastAsia"/>
                <w:sz w:val="20"/>
                <w:szCs w:val="20"/>
              </w:rPr>
              <w:t>—</w:t>
            </w:r>
          </w:p>
        </w:tc>
        <w:tc>
          <w:tcPr>
            <w:tcW w:w="1811" w:type="dxa"/>
            <w:tcBorders>
              <w:top w:val="single" w:color="auto" w:sz="6" w:space="0"/>
              <w:left w:val="single" w:color="auto" w:sz="6" w:space="0"/>
              <w:bottom w:val="single" w:color="auto" w:sz="6" w:space="0"/>
              <w:right w:val="single" w:color="auto" w:sz="6" w:space="0"/>
            </w:tcBorders>
            <w:noWrap/>
            <w:vAlign w:val="center"/>
          </w:tcPr>
          <w:p w14:paraId="51E9938D">
            <w:pPr>
              <w:autoSpaceDE w:val="0"/>
              <w:autoSpaceDN w:val="0"/>
              <w:jc w:val="center"/>
              <w:rPr>
                <w:sz w:val="20"/>
                <w:szCs w:val="20"/>
              </w:rPr>
            </w:pPr>
            <w:r>
              <w:rPr>
                <w:rFonts w:hint="eastAsia"/>
                <w:sz w:val="20"/>
                <w:szCs w:val="20"/>
              </w:rPr>
              <w:t>—</w:t>
            </w:r>
          </w:p>
        </w:tc>
        <w:tc>
          <w:tcPr>
            <w:tcW w:w="1106" w:type="dxa"/>
            <w:tcBorders>
              <w:top w:val="single" w:color="auto" w:sz="4" w:space="0"/>
              <w:left w:val="single" w:color="auto" w:sz="6" w:space="0"/>
              <w:bottom w:val="single" w:color="auto" w:sz="4" w:space="0"/>
              <w:right w:val="single" w:color="auto" w:sz="6" w:space="0"/>
            </w:tcBorders>
            <w:noWrap/>
          </w:tcPr>
          <w:p w14:paraId="553797A0">
            <w:pPr>
              <w:autoSpaceDE w:val="0"/>
              <w:autoSpaceDN w:val="0"/>
              <w:jc w:val="center"/>
              <w:rPr>
                <w:sz w:val="20"/>
                <w:szCs w:val="20"/>
              </w:rPr>
            </w:pPr>
            <w:r>
              <w:rPr>
                <w:rFonts w:hint="eastAsia"/>
                <w:sz w:val="20"/>
                <w:szCs w:val="20"/>
              </w:rPr>
              <w:t>—</w:t>
            </w:r>
          </w:p>
        </w:tc>
      </w:tr>
    </w:tbl>
    <w:p w14:paraId="7B8BCBB3">
      <w:pPr>
        <w:autoSpaceDE w:val="0"/>
        <w:autoSpaceDN w:val="0"/>
        <w:ind w:left="608" w:hanging="608"/>
        <w:rPr>
          <w:rFonts w:ascii="宋体" w:hAnsi="宋体"/>
          <w:sz w:val="20"/>
          <w:szCs w:val="20"/>
        </w:rPr>
      </w:pPr>
      <w:r>
        <w:rPr>
          <w:rFonts w:hint="eastAsia" w:ascii="宋体" w:hAnsi="宋体"/>
          <w:sz w:val="20"/>
          <w:szCs w:val="20"/>
        </w:rPr>
        <w:t>注：1.本表中（1）、（3）、（5）、（6）栏为系统自动生成，无需填写；本表中（2）栏填列预算调整数；本表中（4）栏填列项目的实际支出数。</w:t>
      </w:r>
    </w:p>
    <w:p w14:paraId="13C7C9D2">
      <w:pPr>
        <w:autoSpaceDE w:val="0"/>
        <w:autoSpaceDN w:val="0"/>
        <w:ind w:left="608" w:hanging="608"/>
        <w:rPr>
          <w:rFonts w:ascii="宋体" w:hAnsi="宋体"/>
          <w:sz w:val="20"/>
          <w:szCs w:val="20"/>
        </w:rPr>
      </w:pPr>
      <w:r>
        <w:rPr>
          <w:rFonts w:hint="eastAsia" w:ascii="宋体" w:hAnsi="宋体"/>
          <w:sz w:val="20"/>
          <w:szCs w:val="20"/>
        </w:rPr>
        <w:t>2.第（1）行=第（2）+（7）行；</w:t>
      </w:r>
    </w:p>
    <w:p w14:paraId="00767638">
      <w:pPr>
        <w:autoSpaceDE w:val="0"/>
        <w:autoSpaceDN w:val="0"/>
        <w:ind w:firstLine="600" w:firstLineChars="300"/>
        <w:rPr>
          <w:rFonts w:ascii="宋体" w:hAnsi="宋体"/>
          <w:sz w:val="20"/>
          <w:szCs w:val="20"/>
        </w:rPr>
      </w:pPr>
      <w:r>
        <w:rPr>
          <w:rFonts w:hint="eastAsia" w:ascii="宋体" w:hAnsi="宋体"/>
          <w:sz w:val="20"/>
          <w:szCs w:val="20"/>
        </w:rPr>
        <w:t>第（2）行=第（3）+（5）+（6）行；</w:t>
      </w:r>
    </w:p>
    <w:p w14:paraId="179B9D4E">
      <w:pPr>
        <w:autoSpaceDE w:val="0"/>
        <w:autoSpaceDN w:val="0"/>
        <w:ind w:firstLine="600" w:firstLineChars="300"/>
        <w:rPr>
          <w:rFonts w:ascii="宋体" w:hAnsi="宋体"/>
          <w:sz w:val="20"/>
          <w:szCs w:val="20"/>
        </w:rPr>
      </w:pPr>
      <w:r>
        <w:rPr>
          <w:rFonts w:hint="eastAsia" w:ascii="宋体" w:hAnsi="宋体"/>
          <w:sz w:val="20"/>
          <w:szCs w:val="20"/>
        </w:rPr>
        <w:t>第（3）栏=第（1）+（2）栏；</w:t>
      </w:r>
    </w:p>
    <w:p w14:paraId="0E36DB3D">
      <w:pPr>
        <w:autoSpaceDE w:val="0"/>
        <w:autoSpaceDN w:val="0"/>
        <w:ind w:firstLine="600" w:firstLineChars="300"/>
        <w:rPr>
          <w:rFonts w:ascii="宋体" w:hAnsi="宋体"/>
          <w:sz w:val="20"/>
          <w:szCs w:val="20"/>
        </w:rPr>
      </w:pPr>
      <w:r>
        <w:rPr>
          <w:rFonts w:hint="eastAsia" w:ascii="宋体" w:hAnsi="宋体"/>
          <w:sz w:val="20"/>
          <w:szCs w:val="20"/>
        </w:rPr>
        <w:t>第（5）栏=第（3）-（4）栏；</w:t>
      </w:r>
    </w:p>
    <w:p w14:paraId="32B0B3D3">
      <w:pPr>
        <w:autoSpaceDE w:val="0"/>
        <w:autoSpaceDN w:val="0"/>
        <w:ind w:firstLine="600" w:firstLineChars="300"/>
        <w:rPr>
          <w:rFonts w:ascii="宋体" w:hAnsi="宋体"/>
          <w:sz w:val="20"/>
          <w:szCs w:val="20"/>
        </w:rPr>
      </w:pPr>
      <w:r>
        <w:rPr>
          <w:rFonts w:hint="eastAsia" w:ascii="宋体" w:hAnsi="宋体"/>
          <w:sz w:val="20"/>
          <w:szCs w:val="20"/>
        </w:rPr>
        <w:t>第（1）行第（6）栏=第（2）行第（5）栏/第（1）行第（</w:t>
      </w:r>
      <w:r>
        <w:rPr>
          <w:rFonts w:ascii="宋体" w:hAnsi="宋体"/>
          <w:sz w:val="20"/>
          <w:szCs w:val="20"/>
        </w:rPr>
        <w:t>3</w:t>
      </w:r>
      <w:r>
        <w:rPr>
          <w:rFonts w:hint="eastAsia" w:ascii="宋体" w:hAnsi="宋体"/>
          <w:sz w:val="20"/>
          <w:szCs w:val="20"/>
        </w:rPr>
        <w:t>）栏*100%；</w:t>
      </w:r>
    </w:p>
    <w:p w14:paraId="369E2994">
      <w:pPr>
        <w:autoSpaceDE w:val="0"/>
        <w:autoSpaceDN w:val="0"/>
        <w:ind w:firstLine="600" w:firstLineChars="300"/>
        <w:rPr>
          <w:rFonts w:ascii="宋体" w:hAnsi="宋体"/>
          <w:sz w:val="20"/>
          <w:szCs w:val="20"/>
        </w:rPr>
      </w:pPr>
      <w:r>
        <w:rPr>
          <w:rFonts w:hint="eastAsia" w:ascii="宋体" w:hAnsi="宋体"/>
          <w:sz w:val="20"/>
          <w:szCs w:val="20"/>
        </w:rPr>
        <w:t>第（1）行第（1）栏=第（1）行第（3）栏；</w:t>
      </w:r>
    </w:p>
    <w:p w14:paraId="656EA179">
      <w:pPr>
        <w:autoSpaceDE w:val="0"/>
        <w:autoSpaceDN w:val="0"/>
        <w:ind w:firstLine="600" w:firstLineChars="300"/>
        <w:rPr>
          <w:rFonts w:ascii="宋体" w:hAnsi="宋体"/>
          <w:sz w:val="20"/>
          <w:szCs w:val="20"/>
        </w:rPr>
      </w:pPr>
      <w:r>
        <w:rPr>
          <w:rFonts w:hint="eastAsia" w:ascii="宋体" w:hAnsi="宋体"/>
          <w:sz w:val="20"/>
          <w:szCs w:val="20"/>
        </w:rPr>
        <w:t>第（1）行第（2）栏=0；</w:t>
      </w:r>
    </w:p>
    <w:p w14:paraId="153D4588">
      <w:pPr>
        <w:autoSpaceDE w:val="0"/>
        <w:autoSpaceDN w:val="0"/>
        <w:ind w:firstLine="600" w:firstLineChars="300"/>
        <w:rPr>
          <w:rFonts w:ascii="宋体" w:hAnsi="宋体"/>
          <w:sz w:val="20"/>
          <w:szCs w:val="20"/>
        </w:rPr>
      </w:pPr>
      <w:r>
        <w:rPr>
          <w:rFonts w:hint="eastAsia" w:ascii="宋体" w:hAnsi="宋体"/>
          <w:sz w:val="20"/>
          <w:szCs w:val="20"/>
        </w:rPr>
        <w:t>第（4）栏≤第（3）栏；</w:t>
      </w:r>
    </w:p>
    <w:p w14:paraId="1C3D25F4">
      <w:pPr>
        <w:autoSpaceDE w:val="0"/>
        <w:autoSpaceDN w:val="0"/>
        <w:ind w:firstLine="600" w:firstLineChars="300"/>
        <w:rPr>
          <w:rFonts w:ascii="宋体" w:hAnsi="宋体"/>
          <w:sz w:val="20"/>
          <w:szCs w:val="20"/>
        </w:rPr>
      </w:pPr>
      <w:r>
        <w:rPr>
          <w:rFonts w:hint="eastAsia" w:ascii="宋体" w:hAnsi="宋体"/>
          <w:sz w:val="20"/>
          <w:szCs w:val="20"/>
        </w:rPr>
        <w:t>第（2）行第（5）栏≥0。</w:t>
      </w:r>
    </w:p>
    <w:p w14:paraId="706B01B8">
      <w:pPr>
        <w:autoSpaceDE w:val="0"/>
        <w:autoSpaceDN w:val="0"/>
        <w:ind w:left="608" w:hanging="608"/>
        <w:rPr>
          <w:rFonts w:ascii="宋体" w:hAnsi="宋体"/>
          <w:sz w:val="20"/>
          <w:szCs w:val="20"/>
        </w:rPr>
      </w:pPr>
    </w:p>
    <w:p w14:paraId="5B74DFA8">
      <w:pPr>
        <w:autoSpaceDE w:val="0"/>
        <w:autoSpaceDN w:val="0"/>
        <w:ind w:left="608" w:hanging="608"/>
        <w:rPr>
          <w:rFonts w:ascii="宋体" w:hAnsi="宋体"/>
          <w:sz w:val="20"/>
          <w:szCs w:val="20"/>
        </w:rPr>
      </w:pPr>
    </w:p>
    <w:p w14:paraId="4F86D530">
      <w:pPr>
        <w:autoSpaceDE w:val="0"/>
        <w:autoSpaceDN w:val="0"/>
        <w:spacing w:line="360" w:lineRule="auto"/>
        <w:jc w:val="center"/>
        <w:sectPr>
          <w:footerReference r:id="rId5" w:type="default"/>
          <w:footerReference r:id="rId6" w:type="even"/>
          <w:pgSz w:w="16838" w:h="11906" w:orient="landscape"/>
          <w:pgMar w:top="1021" w:right="1440" w:bottom="907" w:left="1440" w:header="851" w:footer="680" w:gutter="0"/>
          <w:cols w:space="720" w:num="1"/>
          <w:docGrid w:type="lines" w:linePitch="312" w:charSpace="0"/>
        </w:sectPr>
      </w:pPr>
    </w:p>
    <w:p w14:paraId="4F6CA878">
      <w:pPr>
        <w:tabs>
          <w:tab w:val="left" w:pos="1455"/>
          <w:tab w:val="center" w:pos="4607"/>
        </w:tabs>
        <w:autoSpaceDE w:val="0"/>
        <w:autoSpaceDN w:val="0"/>
        <w:ind w:left="608" w:hanging="608"/>
        <w:jc w:val="center"/>
        <w:rPr>
          <w:rFonts w:ascii="黑体" w:eastAsia="黑体"/>
          <w:b/>
          <w:sz w:val="28"/>
          <w:szCs w:val="28"/>
        </w:rPr>
      </w:pPr>
      <w:r>
        <w:rPr>
          <w:rFonts w:hint="eastAsia" w:ascii="黑体" w:eastAsia="黑体"/>
          <w:b/>
          <w:sz w:val="28"/>
          <w:szCs w:val="28"/>
        </w:rPr>
        <w:t>决算说明书</w:t>
      </w:r>
    </w:p>
    <w:tbl>
      <w:tblPr>
        <w:tblStyle w:val="7"/>
        <w:tblW w:w="10086"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086"/>
      </w:tblGrid>
      <w:tr w14:paraId="607BE7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64" w:hRule="atLeast"/>
        </w:trPr>
        <w:tc>
          <w:tcPr>
            <w:tcW w:w="10086" w:type="dxa"/>
            <w:noWrap/>
          </w:tcPr>
          <w:p w14:paraId="1B38B85A">
            <w:pPr>
              <w:autoSpaceDE w:val="0"/>
              <w:autoSpaceDN w:val="0"/>
              <w:spacing w:line="400" w:lineRule="exact"/>
              <w:rPr>
                <w:rFonts w:ascii="宋体" w:hAnsi="宋体"/>
                <w:sz w:val="20"/>
                <w:szCs w:val="20"/>
              </w:rPr>
            </w:pPr>
            <w:r>
              <w:rPr>
                <w:rFonts w:hint="eastAsia" w:ascii="宋体" w:hAnsi="宋体"/>
                <w:sz w:val="20"/>
                <w:szCs w:val="20"/>
              </w:rPr>
              <w:t>（请按照《国家自然科学基金预算制项目决算表编制说明》等有关要求，说明各科目支出、预算调整、结余情况，合作研究转拨资金情况，单价≥50万元的设备情况，资金使用和管理过程中遇到的问题及建议，以及其他需要说明的事项等。）</w:t>
            </w:r>
          </w:p>
          <w:p w14:paraId="1C2A22DD">
            <w:pPr>
              <w:autoSpaceDE w:val="0"/>
              <w:autoSpaceDN w:val="0"/>
              <w:rPr>
                <w:rFonts w:ascii="宋体" w:hAnsi="宋体"/>
                <w:sz w:val="20"/>
                <w:szCs w:val="20"/>
              </w:rPr>
            </w:pPr>
          </w:p>
          <w:p w14:paraId="423744F0">
            <w:pPr>
              <w:tabs>
                <w:tab w:val="left" w:pos="312"/>
              </w:tabs>
              <w:autoSpaceDE w:val="0"/>
              <w:autoSpaceDN w:val="0"/>
              <w:rPr>
                <w:rFonts w:ascii="宋体" w:hAnsi="宋体"/>
                <w:sz w:val="20"/>
                <w:szCs w:val="20"/>
              </w:rPr>
            </w:pPr>
          </w:p>
          <w:p w14:paraId="69B7CE3E">
            <w:pPr>
              <w:tabs>
                <w:tab w:val="left" w:pos="312"/>
              </w:tabs>
              <w:autoSpaceDE w:val="0"/>
              <w:autoSpaceDN w:val="0"/>
              <w:rPr>
                <w:rFonts w:ascii="宋体" w:hAnsi="宋体"/>
                <w:sz w:val="20"/>
                <w:szCs w:val="20"/>
              </w:rPr>
            </w:pPr>
          </w:p>
          <w:p w14:paraId="3003E5A6">
            <w:pPr>
              <w:tabs>
                <w:tab w:val="left" w:pos="312"/>
              </w:tabs>
              <w:autoSpaceDE w:val="0"/>
              <w:autoSpaceDN w:val="0"/>
              <w:rPr>
                <w:rFonts w:ascii="宋体" w:hAnsi="宋体"/>
                <w:sz w:val="20"/>
                <w:szCs w:val="20"/>
              </w:rPr>
            </w:pPr>
          </w:p>
          <w:p w14:paraId="7F9AD70D">
            <w:pPr>
              <w:tabs>
                <w:tab w:val="left" w:pos="312"/>
              </w:tabs>
              <w:autoSpaceDE w:val="0"/>
              <w:autoSpaceDN w:val="0"/>
              <w:rPr>
                <w:rFonts w:ascii="宋体" w:hAnsi="宋体"/>
                <w:sz w:val="20"/>
                <w:szCs w:val="20"/>
              </w:rPr>
            </w:pPr>
          </w:p>
          <w:p w14:paraId="5FE0C1F9">
            <w:pPr>
              <w:tabs>
                <w:tab w:val="left" w:pos="312"/>
              </w:tabs>
              <w:autoSpaceDE w:val="0"/>
              <w:autoSpaceDN w:val="0"/>
              <w:rPr>
                <w:rFonts w:ascii="宋体" w:hAnsi="宋体"/>
                <w:sz w:val="20"/>
                <w:szCs w:val="20"/>
              </w:rPr>
            </w:pPr>
          </w:p>
          <w:p w14:paraId="152C8A05">
            <w:pPr>
              <w:tabs>
                <w:tab w:val="left" w:pos="312"/>
              </w:tabs>
              <w:autoSpaceDE w:val="0"/>
              <w:autoSpaceDN w:val="0"/>
              <w:rPr>
                <w:rFonts w:ascii="宋体" w:hAnsi="宋体"/>
                <w:sz w:val="20"/>
                <w:szCs w:val="20"/>
              </w:rPr>
            </w:pPr>
          </w:p>
          <w:p w14:paraId="07D8BFEB">
            <w:pPr>
              <w:tabs>
                <w:tab w:val="left" w:pos="312"/>
              </w:tabs>
              <w:autoSpaceDE w:val="0"/>
              <w:autoSpaceDN w:val="0"/>
              <w:rPr>
                <w:rFonts w:ascii="宋体" w:hAnsi="宋体"/>
                <w:sz w:val="20"/>
                <w:szCs w:val="20"/>
              </w:rPr>
            </w:pPr>
          </w:p>
          <w:p w14:paraId="21CDC55E">
            <w:pPr>
              <w:tabs>
                <w:tab w:val="left" w:pos="312"/>
              </w:tabs>
              <w:autoSpaceDE w:val="0"/>
              <w:autoSpaceDN w:val="0"/>
              <w:rPr>
                <w:rFonts w:ascii="宋体" w:hAnsi="宋体"/>
                <w:sz w:val="20"/>
                <w:szCs w:val="20"/>
              </w:rPr>
            </w:pPr>
          </w:p>
          <w:p w14:paraId="2D921354">
            <w:pPr>
              <w:autoSpaceDE w:val="0"/>
              <w:autoSpaceDN w:val="0"/>
              <w:rPr>
                <w:rFonts w:ascii="宋体" w:hAnsi="宋体"/>
                <w:sz w:val="20"/>
                <w:szCs w:val="20"/>
              </w:rPr>
            </w:pPr>
          </w:p>
        </w:tc>
      </w:tr>
    </w:tbl>
    <w:p w14:paraId="33959445">
      <w:pPr>
        <w:tabs>
          <w:tab w:val="left" w:pos="1455"/>
          <w:tab w:val="center" w:pos="4607"/>
        </w:tabs>
        <w:autoSpaceDE w:val="0"/>
        <w:autoSpaceDN w:val="0"/>
        <w:ind w:left="608" w:hanging="608"/>
        <w:jc w:val="center"/>
        <w:rPr>
          <w:rFonts w:ascii="黑体" w:eastAsia="黑体"/>
          <w:b/>
          <w:sz w:val="28"/>
          <w:szCs w:val="28"/>
        </w:rPr>
      </w:pPr>
    </w:p>
    <w:p w14:paraId="2F8AA371">
      <w:pPr>
        <w:tabs>
          <w:tab w:val="left" w:pos="1455"/>
          <w:tab w:val="center" w:pos="4607"/>
        </w:tabs>
        <w:autoSpaceDE w:val="0"/>
        <w:autoSpaceDN w:val="0"/>
        <w:ind w:left="608" w:hanging="608"/>
        <w:jc w:val="center"/>
        <w:rPr>
          <w:rFonts w:ascii="黑体" w:eastAsia="黑体"/>
          <w:b/>
          <w:sz w:val="28"/>
          <w:szCs w:val="28"/>
        </w:rPr>
      </w:pPr>
      <w:r>
        <w:rPr>
          <w:rFonts w:hint="eastAsia" w:ascii="黑体" w:eastAsia="黑体"/>
          <w:b/>
          <w:sz w:val="28"/>
          <w:szCs w:val="28"/>
        </w:rPr>
        <w:t>结余资金情况说明</w:t>
      </w:r>
    </w:p>
    <w:tbl>
      <w:tblPr>
        <w:tblStyle w:val="7"/>
        <w:tblW w:w="1019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4"/>
      </w:tblGrid>
      <w:tr w14:paraId="7C856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2" w:hRule="atLeast"/>
        </w:trPr>
        <w:tc>
          <w:tcPr>
            <w:tcW w:w="10194" w:type="dxa"/>
            <w:noWrap/>
          </w:tcPr>
          <w:p w14:paraId="66E70B28">
            <w:pPr>
              <w:autoSpaceDE w:val="0"/>
              <w:autoSpaceDN w:val="0"/>
              <w:spacing w:line="400" w:lineRule="exact"/>
              <w:rPr>
                <w:rFonts w:ascii="宋体" w:hAnsi="宋体"/>
                <w:sz w:val="20"/>
                <w:szCs w:val="20"/>
              </w:rPr>
            </w:pPr>
            <w:r>
              <w:rPr>
                <w:rFonts w:hint="eastAsia" w:ascii="宋体" w:hAnsi="宋体"/>
                <w:sz w:val="20"/>
                <w:szCs w:val="20"/>
              </w:rPr>
              <w:t>（请说明项目结余资金产生的原因及后续资金使用计划。）</w:t>
            </w:r>
          </w:p>
          <w:p w14:paraId="3A16FF52">
            <w:pPr>
              <w:autoSpaceDE w:val="0"/>
              <w:autoSpaceDN w:val="0"/>
              <w:spacing w:line="360" w:lineRule="auto"/>
              <w:jc w:val="center"/>
              <w:rPr>
                <w:rFonts w:ascii="Calibri" w:hAnsi="Calibri"/>
              </w:rPr>
            </w:pPr>
          </w:p>
        </w:tc>
      </w:tr>
    </w:tbl>
    <w:p w14:paraId="756132E9">
      <w:pPr>
        <w:autoSpaceDE w:val="0"/>
        <w:autoSpaceDN w:val="0"/>
        <w:spacing w:line="360" w:lineRule="auto"/>
        <w:jc w:val="left"/>
        <w:rPr>
          <w:b/>
          <w:bCs/>
        </w:rPr>
      </w:pPr>
      <w:r>
        <w:rPr>
          <w:rFonts w:hint="eastAsia" w:ascii="宋体" w:hAnsi="宋体"/>
          <w:b/>
          <w:bCs/>
          <w:sz w:val="20"/>
          <w:szCs w:val="20"/>
        </w:rPr>
        <w:t>注：结余资金比例超过30%的项目该部分必填。</w:t>
      </w:r>
    </w:p>
    <w:sectPr>
      <w:pgSz w:w="11906" w:h="16838"/>
      <w:pgMar w:top="1440" w:right="907" w:bottom="1440" w:left="1021" w:header="851" w:footer="68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2312">
    <w:altName w:val="仿宋"/>
    <w:panose1 w:val="02000000000000000000"/>
    <w:charset w:val="86"/>
    <w:family w:val="auto"/>
    <w:pitch w:val="default"/>
    <w:sig w:usb0="00000000" w:usb1="00000000" w:usb2="00000012" w:usb3="00000000" w:csb0="00040001"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D9941">
    <w:pPr>
      <w:pStyle w:val="4"/>
      <w:jc w:val="center"/>
    </w:pPr>
    <w:r>
      <w:rPr>
        <w:lang w:val="en-US"/>
      </w:rPr>
      <w:fldChar w:fldCharType="begin"/>
    </w:r>
    <w:r>
      <w:instrText xml:space="preserve"> PAGE   \* MERGEFORMAT </w:instrText>
    </w:r>
    <w:r>
      <w:rPr>
        <w:lang w:val="en-US"/>
      </w:rPr>
      <w:fldChar w:fldCharType="separate"/>
    </w:r>
    <w:r>
      <w:rPr>
        <w:lang w:val="zh-CN"/>
      </w:rPr>
      <w:t>4</w:t>
    </w:r>
    <w:r>
      <w:rPr>
        <w:lang w:val="zh-CN"/>
      </w:rPr>
      <w:fldChar w:fldCharType="end"/>
    </w:r>
  </w:p>
  <w:p w14:paraId="47A69798">
    <w:pPr>
      <w:pStyle w:val="4"/>
      <w:ind w:left="307"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791709">
    <w:pPr>
      <w:pStyle w:val="4"/>
      <w:framePr w:wrap="around" w:vAnchor="text" w:hAnchor="margin" w:xAlign="center" w:y="1"/>
      <w:ind w:left="307" w:firstLine="360"/>
      <w:rPr>
        <w:rStyle w:val="10"/>
      </w:rPr>
    </w:pPr>
    <w:r>
      <w:fldChar w:fldCharType="begin"/>
    </w:r>
    <w:r>
      <w:rPr>
        <w:rStyle w:val="10"/>
      </w:rPr>
      <w:instrText xml:space="preserve">PAGE  </w:instrText>
    </w:r>
    <w:r>
      <w:fldChar w:fldCharType="separate"/>
    </w:r>
    <w:r>
      <w:rPr>
        <w:rStyle w:val="10"/>
      </w:rPr>
      <w:t>0</w:t>
    </w:r>
    <w:r>
      <w:fldChar w:fldCharType="end"/>
    </w:r>
  </w:p>
  <w:p w14:paraId="5FB17605">
    <w:pPr>
      <w:pStyle w:val="4"/>
      <w:ind w:left="307"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C431A6">
    <w:pPr>
      <w:pStyle w:val="4"/>
      <w:jc w:val="center"/>
    </w:pPr>
    <w:r>
      <w:rPr>
        <w:lang w:val="en-US"/>
      </w:rPr>
      <w:fldChar w:fldCharType="begin"/>
    </w:r>
    <w:r>
      <w:instrText xml:space="preserve"> PAGE   \* MERGEFORMAT </w:instrText>
    </w:r>
    <w:r>
      <w:rPr>
        <w:lang w:val="en-US"/>
      </w:rPr>
      <w:fldChar w:fldCharType="separate"/>
    </w:r>
    <w:r>
      <w:rPr>
        <w:lang w:val="zh-CN"/>
      </w:rPr>
      <w:t>5</w:t>
    </w:r>
    <w:r>
      <w:rPr>
        <w:lang w:val="zh-CN"/>
      </w:rPr>
      <w:fldChar w:fldCharType="end"/>
    </w:r>
  </w:p>
  <w:p w14:paraId="2A459F63">
    <w:pPr>
      <w:pStyle w:val="4"/>
      <w:ind w:left="307"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64CE61">
    <w:pPr>
      <w:pStyle w:val="4"/>
      <w:framePr w:wrap="around" w:vAnchor="text" w:hAnchor="margin" w:xAlign="center" w:y="1"/>
      <w:ind w:left="307" w:firstLine="360"/>
      <w:rPr>
        <w:rStyle w:val="10"/>
      </w:rPr>
    </w:pPr>
    <w:r>
      <w:fldChar w:fldCharType="begin"/>
    </w:r>
    <w:r>
      <w:rPr>
        <w:rStyle w:val="10"/>
      </w:rPr>
      <w:instrText xml:space="preserve">PAGE  </w:instrText>
    </w:r>
    <w:r>
      <w:fldChar w:fldCharType="separate"/>
    </w:r>
    <w:r>
      <w:rPr>
        <w:rStyle w:val="10"/>
      </w:rPr>
      <w:t>0</w:t>
    </w:r>
    <w:r>
      <w:fldChar w:fldCharType="end"/>
    </w:r>
  </w:p>
  <w:p w14:paraId="4A749ACE">
    <w:pPr>
      <w:pStyle w:val="4"/>
      <w:ind w:left="307"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4"/>
  <w:doNotDisplayPageBoundaries w:val="1"/>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D4DB9"/>
    <w:rsid w:val="00000694"/>
    <w:rsid w:val="00020E0E"/>
    <w:rsid w:val="0007050F"/>
    <w:rsid w:val="00070B18"/>
    <w:rsid w:val="00077C42"/>
    <w:rsid w:val="000876A4"/>
    <w:rsid w:val="000C4C8D"/>
    <w:rsid w:val="00145853"/>
    <w:rsid w:val="00145AD0"/>
    <w:rsid w:val="00163DCB"/>
    <w:rsid w:val="00174B5F"/>
    <w:rsid w:val="001774CD"/>
    <w:rsid w:val="001D2F1C"/>
    <w:rsid w:val="001D3245"/>
    <w:rsid w:val="001E220D"/>
    <w:rsid w:val="001E5812"/>
    <w:rsid w:val="00212640"/>
    <w:rsid w:val="00212A8A"/>
    <w:rsid w:val="0023420B"/>
    <w:rsid w:val="00270FA2"/>
    <w:rsid w:val="00275DD1"/>
    <w:rsid w:val="00304D0E"/>
    <w:rsid w:val="003206C0"/>
    <w:rsid w:val="00335293"/>
    <w:rsid w:val="00390FB5"/>
    <w:rsid w:val="00392D14"/>
    <w:rsid w:val="003B1F6D"/>
    <w:rsid w:val="003C358D"/>
    <w:rsid w:val="003D55BA"/>
    <w:rsid w:val="003F32DB"/>
    <w:rsid w:val="00433231"/>
    <w:rsid w:val="004353EE"/>
    <w:rsid w:val="0046102B"/>
    <w:rsid w:val="00465BF6"/>
    <w:rsid w:val="004751A7"/>
    <w:rsid w:val="00481871"/>
    <w:rsid w:val="004C5C07"/>
    <w:rsid w:val="004E59EE"/>
    <w:rsid w:val="00506697"/>
    <w:rsid w:val="005146D8"/>
    <w:rsid w:val="00536E01"/>
    <w:rsid w:val="00542BF0"/>
    <w:rsid w:val="005658E3"/>
    <w:rsid w:val="00567E30"/>
    <w:rsid w:val="00577676"/>
    <w:rsid w:val="00581069"/>
    <w:rsid w:val="00583805"/>
    <w:rsid w:val="00596B8E"/>
    <w:rsid w:val="005C3372"/>
    <w:rsid w:val="005D682A"/>
    <w:rsid w:val="005D6891"/>
    <w:rsid w:val="006167D3"/>
    <w:rsid w:val="006277DF"/>
    <w:rsid w:val="006326C6"/>
    <w:rsid w:val="0064051E"/>
    <w:rsid w:val="00641A0F"/>
    <w:rsid w:val="00652BC9"/>
    <w:rsid w:val="006564AD"/>
    <w:rsid w:val="0067481E"/>
    <w:rsid w:val="006B6017"/>
    <w:rsid w:val="006D3BAA"/>
    <w:rsid w:val="006D3D46"/>
    <w:rsid w:val="00742634"/>
    <w:rsid w:val="00764777"/>
    <w:rsid w:val="007837D5"/>
    <w:rsid w:val="007965D1"/>
    <w:rsid w:val="007A5918"/>
    <w:rsid w:val="007B66DD"/>
    <w:rsid w:val="00803B21"/>
    <w:rsid w:val="00820AA9"/>
    <w:rsid w:val="00832592"/>
    <w:rsid w:val="00840F7D"/>
    <w:rsid w:val="008708AB"/>
    <w:rsid w:val="00896810"/>
    <w:rsid w:val="00897A9F"/>
    <w:rsid w:val="008A208A"/>
    <w:rsid w:val="008B4220"/>
    <w:rsid w:val="008D34E2"/>
    <w:rsid w:val="00902351"/>
    <w:rsid w:val="00932E83"/>
    <w:rsid w:val="00934665"/>
    <w:rsid w:val="009558A6"/>
    <w:rsid w:val="00976F26"/>
    <w:rsid w:val="0098537A"/>
    <w:rsid w:val="009911E0"/>
    <w:rsid w:val="009931A3"/>
    <w:rsid w:val="009932CA"/>
    <w:rsid w:val="009964D3"/>
    <w:rsid w:val="009A7C89"/>
    <w:rsid w:val="009C146E"/>
    <w:rsid w:val="009C20E7"/>
    <w:rsid w:val="009F39DB"/>
    <w:rsid w:val="009F4812"/>
    <w:rsid w:val="009F7399"/>
    <w:rsid w:val="00A026A1"/>
    <w:rsid w:val="00A250A3"/>
    <w:rsid w:val="00A434C1"/>
    <w:rsid w:val="00A46DFA"/>
    <w:rsid w:val="00A75E1F"/>
    <w:rsid w:val="00AA5730"/>
    <w:rsid w:val="00AC292A"/>
    <w:rsid w:val="00AC33A3"/>
    <w:rsid w:val="00AD6EF2"/>
    <w:rsid w:val="00AF3919"/>
    <w:rsid w:val="00B01E6D"/>
    <w:rsid w:val="00B268F5"/>
    <w:rsid w:val="00B43A02"/>
    <w:rsid w:val="00B7161F"/>
    <w:rsid w:val="00BA2EBF"/>
    <w:rsid w:val="00BA4A69"/>
    <w:rsid w:val="00BE22E6"/>
    <w:rsid w:val="00BF5713"/>
    <w:rsid w:val="00C037C8"/>
    <w:rsid w:val="00C27BD6"/>
    <w:rsid w:val="00C366AC"/>
    <w:rsid w:val="00C44A17"/>
    <w:rsid w:val="00C60869"/>
    <w:rsid w:val="00C65FFD"/>
    <w:rsid w:val="00C72858"/>
    <w:rsid w:val="00C86DF8"/>
    <w:rsid w:val="00C93966"/>
    <w:rsid w:val="00CA475C"/>
    <w:rsid w:val="00CA50D8"/>
    <w:rsid w:val="00CA72F0"/>
    <w:rsid w:val="00CC1BD3"/>
    <w:rsid w:val="00CD00FD"/>
    <w:rsid w:val="00CD3E30"/>
    <w:rsid w:val="00CE6E50"/>
    <w:rsid w:val="00CE73C0"/>
    <w:rsid w:val="00D003CE"/>
    <w:rsid w:val="00D00BF0"/>
    <w:rsid w:val="00D1470F"/>
    <w:rsid w:val="00D157A2"/>
    <w:rsid w:val="00D40F1C"/>
    <w:rsid w:val="00D503FD"/>
    <w:rsid w:val="00DB351B"/>
    <w:rsid w:val="00DD05E7"/>
    <w:rsid w:val="00DD2B1E"/>
    <w:rsid w:val="00DD596B"/>
    <w:rsid w:val="00DF0A6C"/>
    <w:rsid w:val="00E01B5F"/>
    <w:rsid w:val="00E15A5B"/>
    <w:rsid w:val="00E815A8"/>
    <w:rsid w:val="00EA2F79"/>
    <w:rsid w:val="00ED4DB9"/>
    <w:rsid w:val="00ED598D"/>
    <w:rsid w:val="00EF6CD1"/>
    <w:rsid w:val="00F027E8"/>
    <w:rsid w:val="00F07719"/>
    <w:rsid w:val="00F15A77"/>
    <w:rsid w:val="00F26CD4"/>
    <w:rsid w:val="00F444EE"/>
    <w:rsid w:val="00F46DD3"/>
    <w:rsid w:val="00F579F0"/>
    <w:rsid w:val="00F60DF9"/>
    <w:rsid w:val="00F978BC"/>
    <w:rsid w:val="00FB46D4"/>
    <w:rsid w:val="00FC6F79"/>
    <w:rsid w:val="00FD457D"/>
    <w:rsid w:val="00FF36C6"/>
    <w:rsid w:val="06771055"/>
    <w:rsid w:val="06B3413C"/>
    <w:rsid w:val="07430F11"/>
    <w:rsid w:val="0ED636FF"/>
    <w:rsid w:val="10AE5CFA"/>
    <w:rsid w:val="139F24FC"/>
    <w:rsid w:val="1D4D510F"/>
    <w:rsid w:val="200B1CBE"/>
    <w:rsid w:val="202D3B13"/>
    <w:rsid w:val="24E87C1C"/>
    <w:rsid w:val="27F4659B"/>
    <w:rsid w:val="29C31B34"/>
    <w:rsid w:val="2BE52C11"/>
    <w:rsid w:val="2BF12C9C"/>
    <w:rsid w:val="306D46ED"/>
    <w:rsid w:val="30D102ED"/>
    <w:rsid w:val="34BC5C10"/>
    <w:rsid w:val="35E80748"/>
    <w:rsid w:val="392016C6"/>
    <w:rsid w:val="3AF26006"/>
    <w:rsid w:val="3F2B0940"/>
    <w:rsid w:val="446554A0"/>
    <w:rsid w:val="4A306DA0"/>
    <w:rsid w:val="4FF81CF5"/>
    <w:rsid w:val="50EE2C79"/>
    <w:rsid w:val="52CD6A64"/>
    <w:rsid w:val="53B6445D"/>
    <w:rsid w:val="55665C61"/>
    <w:rsid w:val="56A25DE2"/>
    <w:rsid w:val="58BB67A0"/>
    <w:rsid w:val="58F31CB7"/>
    <w:rsid w:val="5F486048"/>
    <w:rsid w:val="60454B0D"/>
    <w:rsid w:val="611B7D61"/>
    <w:rsid w:val="61E75526"/>
    <w:rsid w:val="686A495D"/>
    <w:rsid w:val="6B896AC3"/>
    <w:rsid w:val="6EEF3F33"/>
    <w:rsid w:val="733E471B"/>
    <w:rsid w:val="74B2080C"/>
    <w:rsid w:val="760402B4"/>
    <w:rsid w:val="7DB07586"/>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99" w:semiHidden="0"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uiPriority w:val="99"/>
    <w:pPr>
      <w:jc w:val="left"/>
    </w:pPr>
  </w:style>
  <w:style w:type="paragraph" w:styleId="3">
    <w:name w:val="Balloon Text"/>
    <w:basedOn w:val="1"/>
    <w:link w:val="12"/>
    <w:semiHidden/>
    <w:qFormat/>
    <w:uiPriority w:val="0"/>
    <w:rPr>
      <w:kern w:val="0"/>
      <w:sz w:val="18"/>
      <w:szCs w:val="18"/>
    </w:rPr>
  </w:style>
  <w:style w:type="paragraph" w:styleId="4">
    <w:name w:val="footer"/>
    <w:basedOn w:val="1"/>
    <w:link w:val="14"/>
    <w:qFormat/>
    <w:uiPriority w:val="99"/>
    <w:pPr>
      <w:tabs>
        <w:tab w:val="center" w:pos="4153"/>
        <w:tab w:val="right" w:pos="8306"/>
      </w:tabs>
      <w:snapToGrid w:val="0"/>
      <w:jc w:val="left"/>
    </w:pPr>
    <w:rPr>
      <w:kern w:val="0"/>
      <w:sz w:val="18"/>
      <w:szCs w:val="18"/>
    </w:rPr>
  </w:style>
  <w:style w:type="paragraph" w:styleId="5">
    <w:name w:val="header"/>
    <w:basedOn w:val="1"/>
    <w:link w:val="13"/>
    <w:qFormat/>
    <w:uiPriority w:val="99"/>
    <w:pPr>
      <w:pBdr>
        <w:bottom w:val="single" w:color="auto" w:sz="6" w:space="1"/>
      </w:pBdr>
      <w:tabs>
        <w:tab w:val="center" w:pos="4153"/>
        <w:tab w:val="right" w:pos="8306"/>
      </w:tabs>
      <w:snapToGrid w:val="0"/>
      <w:jc w:val="center"/>
    </w:pPr>
    <w:rPr>
      <w:kern w:val="0"/>
      <w:sz w:val="18"/>
      <w:szCs w:val="18"/>
    </w:rPr>
  </w:style>
  <w:style w:type="paragraph" w:styleId="6">
    <w:name w:val="Body Text Indent 3"/>
    <w:basedOn w:val="1"/>
    <w:link w:val="15"/>
    <w:qFormat/>
    <w:uiPriority w:val="99"/>
    <w:pPr>
      <w:adjustRightInd w:val="0"/>
      <w:snapToGrid w:val="0"/>
      <w:spacing w:line="300" w:lineRule="auto"/>
      <w:ind w:left="1260" w:hanging="1"/>
    </w:pPr>
    <w:rPr>
      <w:kern w:val="0"/>
      <w:sz w:val="16"/>
      <w:szCs w:val="16"/>
    </w:rPr>
  </w:style>
  <w:style w:type="table" w:styleId="8">
    <w:name w:val="Table Grid"/>
    <w:basedOn w:val="7"/>
    <w:qFormat/>
    <w:uiPriority w:val="59"/>
    <w:rPr>
      <w:rFonts w:ascii="Calibri" w:hAnsi="Calibri"/>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0">
    <w:name w:val="page number"/>
    <w:qFormat/>
    <w:uiPriority w:val="0"/>
    <w:rPr>
      <w:rFonts w:cs="Times New Roman"/>
    </w:rPr>
  </w:style>
  <w:style w:type="character" w:customStyle="1" w:styleId="11">
    <w:name w:val="正文文本缩进 3 Char"/>
    <w:qFormat/>
    <w:locked/>
    <w:uiPriority w:val="0"/>
    <w:rPr>
      <w:rFonts w:ascii="宋体" w:hAnsi="宋体" w:eastAsia="宋体"/>
      <w:sz w:val="24"/>
      <w:szCs w:val="24"/>
    </w:rPr>
  </w:style>
  <w:style w:type="character" w:customStyle="1" w:styleId="12">
    <w:name w:val="批注框文本 Char"/>
    <w:link w:val="3"/>
    <w:semiHidden/>
    <w:qFormat/>
    <w:uiPriority w:val="0"/>
    <w:rPr>
      <w:rFonts w:ascii="Times New Roman" w:hAnsi="Times New Roman" w:eastAsia="宋体" w:cs="Times New Roman"/>
      <w:sz w:val="18"/>
      <w:szCs w:val="18"/>
    </w:rPr>
  </w:style>
  <w:style w:type="character" w:customStyle="1" w:styleId="13">
    <w:name w:val="页眉 Char1"/>
    <w:link w:val="5"/>
    <w:semiHidden/>
    <w:qFormat/>
    <w:uiPriority w:val="99"/>
    <w:rPr>
      <w:rFonts w:ascii="Times New Roman" w:hAnsi="Times New Roman" w:eastAsia="宋体" w:cs="Times New Roman"/>
      <w:sz w:val="18"/>
      <w:szCs w:val="18"/>
    </w:rPr>
  </w:style>
  <w:style w:type="character" w:customStyle="1" w:styleId="14">
    <w:name w:val="页脚 Char1"/>
    <w:link w:val="4"/>
    <w:semiHidden/>
    <w:qFormat/>
    <w:uiPriority w:val="99"/>
    <w:rPr>
      <w:rFonts w:ascii="Times New Roman" w:hAnsi="Times New Roman" w:eastAsia="宋体" w:cs="Times New Roman"/>
      <w:sz w:val="18"/>
      <w:szCs w:val="18"/>
    </w:rPr>
  </w:style>
  <w:style w:type="character" w:customStyle="1" w:styleId="15">
    <w:name w:val="正文文本缩进 3 Char1"/>
    <w:link w:val="6"/>
    <w:semiHidden/>
    <w:qFormat/>
    <w:uiPriority w:val="99"/>
    <w:rPr>
      <w:rFonts w:ascii="Times New Roman" w:hAnsi="Times New Roman" w:eastAsia="宋体" w:cs="Times New Roman"/>
      <w:sz w:val="16"/>
      <w:szCs w:val="16"/>
    </w:rPr>
  </w:style>
  <w:style w:type="character" w:customStyle="1" w:styleId="16">
    <w:name w:val="页眉 Char"/>
    <w:qFormat/>
    <w:uiPriority w:val="0"/>
    <w:rPr>
      <w:sz w:val="18"/>
      <w:szCs w:val="18"/>
    </w:rPr>
  </w:style>
  <w:style w:type="character" w:customStyle="1" w:styleId="17">
    <w:name w:val="页脚 Char"/>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2410</Words>
  <Characters>2478</Characters>
  <Lines>19</Lines>
  <Paragraphs>5</Paragraphs>
  <TotalTime>7</TotalTime>
  <ScaleCrop>false</ScaleCrop>
  <LinksUpToDate>false</LinksUpToDate>
  <CharactersWithSpaces>2535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2021-12-01T06:00:00Z</dcterms:created>
  <dc:creator>USER</dc:creator>
  <cp:lastModifiedBy>科研部安浩</cp:lastModifiedBy>
  <cp:lastPrinted>2025-11-24T08:15:00Z</cp:lastPrinted>
  <dcterms:modified xsi:type="dcterms:W3CDTF">2025-12-09T03:04:15Z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566D61D9AA254B4D8852B1F24ED3A495</vt:lpwstr>
  </property>
  <property fmtid="{D5CDD505-2E9C-101B-9397-08002B2CF9AE}" pid="4" name="KSOTemplateDocerSaveRecord">
    <vt:lpwstr>eyJoZGlkIjoiMjU1MjRhNDljMTkyYzIzMmFhMDAxOGIzMTI1ZjBiYzQiLCJ1c2VySWQiOiIzMDQ4MTMxOSJ9</vt:lpwstr>
  </property>
</Properties>
</file>